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3C27" w14:textId="77777777" w:rsidR="0070679F" w:rsidRPr="00F929C8" w:rsidRDefault="0070679F" w:rsidP="00B57908">
      <w:pPr>
        <w:spacing w:after="120"/>
        <w:ind w:left="72"/>
        <w:jc w:val="both"/>
        <w:textAlignment w:val="baseline"/>
        <w:rPr>
          <w:rFonts w:asciiTheme="minorHAnsi" w:eastAsia="Calibri" w:hAnsiTheme="minorHAnsi" w:cs="Arial"/>
          <w:b/>
          <w:color w:val="000000"/>
          <w:sz w:val="21"/>
          <w:szCs w:val="21"/>
        </w:rPr>
      </w:pPr>
    </w:p>
    <w:p w14:paraId="4DD64E0C" w14:textId="02B47E3C" w:rsidR="00756F5C" w:rsidRPr="00F929C8" w:rsidRDefault="00756F5C" w:rsidP="00B57908">
      <w:pPr>
        <w:spacing w:after="120"/>
        <w:ind w:left="72"/>
        <w:jc w:val="center"/>
        <w:textAlignment w:val="baseline"/>
        <w:rPr>
          <w:rFonts w:asciiTheme="minorHAnsi" w:eastAsia="Calibri" w:hAnsiTheme="minorHAnsi" w:cs="Arial"/>
          <w:b/>
          <w:color w:val="000000"/>
          <w:sz w:val="21"/>
          <w:szCs w:val="21"/>
        </w:rPr>
      </w:pPr>
      <w:r w:rsidRPr="00F929C8">
        <w:rPr>
          <w:rFonts w:asciiTheme="minorHAnsi" w:eastAsia="Calibri" w:hAnsiTheme="minorHAnsi" w:cs="Arial"/>
          <w:b/>
          <w:color w:val="000000"/>
          <w:sz w:val="21"/>
          <w:szCs w:val="21"/>
        </w:rPr>
        <w:t>Directors’ Remuneration Policy</w:t>
      </w:r>
    </w:p>
    <w:p w14:paraId="55386AD5" w14:textId="5F96B470" w:rsidR="00D9670D" w:rsidRPr="00F929C8" w:rsidRDefault="00635C98" w:rsidP="00813D80">
      <w:pPr>
        <w:spacing w:after="120" w:line="360" w:lineRule="auto"/>
        <w:ind w:left="72"/>
        <w:jc w:val="center"/>
        <w:textAlignment w:val="baseline"/>
        <w:rPr>
          <w:rFonts w:asciiTheme="minorHAnsi" w:eastAsia="Calibri" w:hAnsiTheme="minorHAnsi" w:cs="Arial"/>
          <w:b/>
          <w:color w:val="000000"/>
          <w:sz w:val="21"/>
          <w:szCs w:val="21"/>
        </w:rPr>
      </w:pPr>
      <w:r>
        <w:rPr>
          <w:rFonts w:asciiTheme="minorHAnsi" w:eastAsia="Calibri" w:hAnsiTheme="minorHAnsi" w:cs="Arial"/>
          <w:b/>
          <w:color w:val="000000"/>
          <w:sz w:val="21"/>
          <w:szCs w:val="21"/>
        </w:rPr>
        <w:t>A</w:t>
      </w:r>
      <w:r w:rsidRPr="00635C98">
        <w:rPr>
          <w:rFonts w:asciiTheme="minorHAnsi" w:eastAsia="Calibri" w:hAnsiTheme="minorHAnsi" w:cs="Arial"/>
          <w:b/>
          <w:color w:val="000000"/>
          <w:sz w:val="21"/>
          <w:szCs w:val="21"/>
        </w:rPr>
        <w:t>s revised and adopted by the General Meeting on 12 March 2025</w:t>
      </w:r>
    </w:p>
    <w:p w14:paraId="12E5DBA3" w14:textId="7A76E50B" w:rsidR="007C4A82" w:rsidRPr="00F929C8" w:rsidRDefault="00B93B5D" w:rsidP="00813D80">
      <w:pPr>
        <w:spacing w:after="120" w:line="360" w:lineRule="auto"/>
        <w:ind w:left="72"/>
        <w:jc w:val="both"/>
        <w:textAlignment w:val="baseline"/>
        <w:rPr>
          <w:rFonts w:asciiTheme="minorHAnsi" w:eastAsia="Calibri" w:hAnsiTheme="minorHAnsi" w:cs="Arial"/>
          <w:bCs/>
          <w:color w:val="000000"/>
          <w:spacing w:val="-6"/>
          <w:sz w:val="21"/>
          <w:szCs w:val="21"/>
        </w:rPr>
      </w:pPr>
      <w:r w:rsidRPr="00F929C8">
        <w:rPr>
          <w:rFonts w:asciiTheme="minorHAnsi" w:eastAsia="Calibri" w:hAnsiTheme="minorHAnsi" w:cs="Arial"/>
          <w:bCs/>
          <w:color w:val="000000"/>
          <w:spacing w:val="-6"/>
          <w:sz w:val="21"/>
          <w:szCs w:val="21"/>
        </w:rPr>
        <w:t xml:space="preserve">This document sets out the </w:t>
      </w:r>
      <w:r w:rsidR="00EA542D" w:rsidRPr="00F929C8">
        <w:rPr>
          <w:rFonts w:asciiTheme="minorHAnsi" w:eastAsia="Calibri" w:hAnsiTheme="minorHAnsi" w:cs="Arial"/>
          <w:bCs/>
          <w:color w:val="000000"/>
          <w:spacing w:val="-6"/>
          <w:sz w:val="21"/>
          <w:szCs w:val="21"/>
        </w:rPr>
        <w:t>r</w:t>
      </w:r>
      <w:r w:rsidRPr="00F929C8">
        <w:rPr>
          <w:rFonts w:asciiTheme="minorHAnsi" w:eastAsia="Calibri" w:hAnsiTheme="minorHAnsi" w:cs="Arial"/>
          <w:bCs/>
          <w:color w:val="000000"/>
          <w:spacing w:val="-6"/>
          <w:sz w:val="21"/>
          <w:szCs w:val="21"/>
        </w:rPr>
        <w:t xml:space="preserve">emuneration </w:t>
      </w:r>
      <w:r w:rsidR="00EA542D" w:rsidRPr="00F929C8">
        <w:rPr>
          <w:rFonts w:asciiTheme="minorHAnsi" w:eastAsia="Calibri" w:hAnsiTheme="minorHAnsi" w:cs="Arial"/>
          <w:bCs/>
          <w:color w:val="000000"/>
          <w:spacing w:val="-6"/>
          <w:sz w:val="21"/>
          <w:szCs w:val="21"/>
        </w:rPr>
        <w:t>p</w:t>
      </w:r>
      <w:r w:rsidRPr="00F929C8">
        <w:rPr>
          <w:rFonts w:asciiTheme="minorHAnsi" w:eastAsia="Calibri" w:hAnsiTheme="minorHAnsi" w:cs="Arial"/>
          <w:bCs/>
          <w:color w:val="000000"/>
          <w:spacing w:val="-6"/>
          <w:sz w:val="21"/>
          <w:szCs w:val="21"/>
        </w:rPr>
        <w:t xml:space="preserve">olicy for Pepco Group N.V. (the Company) as revised and adopted by the General Meeting on </w:t>
      </w:r>
      <w:r w:rsidR="00D24F66">
        <w:rPr>
          <w:rFonts w:asciiTheme="minorHAnsi" w:eastAsia="Calibri" w:hAnsiTheme="minorHAnsi" w:cs="Arial"/>
          <w:bCs/>
          <w:color w:val="000000"/>
          <w:spacing w:val="-6"/>
          <w:sz w:val="21"/>
          <w:szCs w:val="21"/>
        </w:rPr>
        <w:t>12 March 2025</w:t>
      </w:r>
      <w:r w:rsidR="00EA542D" w:rsidRPr="00F929C8">
        <w:rPr>
          <w:rFonts w:asciiTheme="minorHAnsi" w:eastAsia="Calibri" w:hAnsiTheme="minorHAnsi" w:cs="Arial"/>
          <w:bCs/>
          <w:color w:val="000000"/>
          <w:spacing w:val="-6"/>
          <w:sz w:val="21"/>
          <w:szCs w:val="21"/>
        </w:rPr>
        <w:t xml:space="preserve"> (the Policy)</w:t>
      </w:r>
      <w:r w:rsidRPr="00F929C8">
        <w:rPr>
          <w:rFonts w:asciiTheme="minorHAnsi" w:eastAsia="Calibri" w:hAnsiTheme="minorHAnsi" w:cs="Arial"/>
          <w:bCs/>
          <w:color w:val="000000"/>
          <w:spacing w:val="-6"/>
          <w:sz w:val="21"/>
          <w:szCs w:val="21"/>
        </w:rPr>
        <w:t xml:space="preserve">. The Policy is a revision of the </w:t>
      </w:r>
      <w:r w:rsidR="00EA542D" w:rsidRPr="00F929C8">
        <w:rPr>
          <w:rFonts w:asciiTheme="minorHAnsi" w:eastAsia="Calibri" w:hAnsiTheme="minorHAnsi" w:cs="Arial"/>
          <w:bCs/>
          <w:color w:val="000000"/>
          <w:spacing w:val="-6"/>
          <w:sz w:val="21"/>
          <w:szCs w:val="21"/>
        </w:rPr>
        <w:t xml:space="preserve">remuneration </w:t>
      </w:r>
      <w:r w:rsidRPr="00F929C8">
        <w:rPr>
          <w:rFonts w:asciiTheme="minorHAnsi" w:eastAsia="Calibri" w:hAnsiTheme="minorHAnsi" w:cs="Arial"/>
          <w:bCs/>
          <w:color w:val="000000"/>
          <w:spacing w:val="-6"/>
          <w:sz w:val="21"/>
          <w:szCs w:val="21"/>
        </w:rPr>
        <w:t xml:space="preserve">policy adopted during the </w:t>
      </w:r>
      <w:r w:rsidR="00367BD7" w:rsidRPr="00F929C8">
        <w:rPr>
          <w:rFonts w:asciiTheme="minorHAnsi" w:eastAsia="Calibri" w:hAnsiTheme="minorHAnsi" w:cs="Arial"/>
          <w:bCs/>
          <w:color w:val="000000"/>
          <w:spacing w:val="-6"/>
          <w:sz w:val="21"/>
          <w:szCs w:val="21"/>
        </w:rPr>
        <w:t xml:space="preserve">annual general meeting (AGM) </w:t>
      </w:r>
      <w:r w:rsidRPr="00F929C8">
        <w:rPr>
          <w:rFonts w:asciiTheme="minorHAnsi" w:eastAsia="Calibri" w:hAnsiTheme="minorHAnsi" w:cs="Arial"/>
          <w:bCs/>
          <w:color w:val="000000"/>
          <w:spacing w:val="-6"/>
          <w:sz w:val="21"/>
          <w:szCs w:val="21"/>
        </w:rPr>
        <w:t xml:space="preserve">of 2 February 2023. </w:t>
      </w:r>
      <w:r w:rsidR="007169BA" w:rsidRPr="00F929C8">
        <w:rPr>
          <w:rFonts w:asciiTheme="minorHAnsi" w:eastAsia="Calibri" w:hAnsiTheme="minorHAnsi" w:cs="Arial"/>
          <w:bCs/>
          <w:color w:val="000000"/>
          <w:spacing w:val="-6"/>
          <w:sz w:val="21"/>
          <w:szCs w:val="21"/>
        </w:rPr>
        <w:t xml:space="preserve">Policy revisions </w:t>
      </w:r>
      <w:r w:rsidR="00DB18F2" w:rsidRPr="00F929C8">
        <w:rPr>
          <w:rFonts w:asciiTheme="minorHAnsi" w:eastAsia="Calibri" w:hAnsiTheme="minorHAnsi" w:cs="Arial"/>
          <w:bCs/>
          <w:color w:val="000000"/>
          <w:spacing w:val="-6"/>
          <w:sz w:val="21"/>
          <w:szCs w:val="21"/>
        </w:rPr>
        <w:t>have been made to reflect the</w:t>
      </w:r>
      <w:r w:rsidR="00963416" w:rsidRPr="00F929C8">
        <w:rPr>
          <w:rFonts w:asciiTheme="minorHAnsi" w:eastAsia="Calibri" w:hAnsiTheme="minorHAnsi" w:cs="Arial"/>
          <w:bCs/>
          <w:color w:val="000000"/>
          <w:spacing w:val="-6"/>
          <w:sz w:val="21"/>
          <w:szCs w:val="21"/>
        </w:rPr>
        <w:t xml:space="preserve"> significantly increased</w:t>
      </w:r>
      <w:r w:rsidR="00DB18F2" w:rsidRPr="00F929C8">
        <w:rPr>
          <w:rFonts w:asciiTheme="minorHAnsi" w:eastAsia="Calibri" w:hAnsiTheme="minorHAnsi" w:cs="Arial"/>
          <w:bCs/>
          <w:color w:val="000000"/>
          <w:spacing w:val="-6"/>
          <w:sz w:val="21"/>
          <w:szCs w:val="21"/>
        </w:rPr>
        <w:t xml:space="preserve"> time and effort spent by the </w:t>
      </w:r>
      <w:r w:rsidR="003704FF" w:rsidRPr="00F929C8">
        <w:rPr>
          <w:rFonts w:asciiTheme="minorHAnsi" w:eastAsia="Calibri" w:hAnsiTheme="minorHAnsi" w:cs="Arial"/>
          <w:bCs/>
          <w:color w:val="000000"/>
          <w:spacing w:val="-6"/>
          <w:sz w:val="21"/>
          <w:szCs w:val="21"/>
        </w:rPr>
        <w:t>N</w:t>
      </w:r>
      <w:r w:rsidR="00DB18F2" w:rsidRPr="00F929C8">
        <w:rPr>
          <w:rFonts w:asciiTheme="minorHAnsi" w:eastAsia="Calibri" w:hAnsiTheme="minorHAnsi" w:cs="Arial"/>
          <w:bCs/>
          <w:color w:val="000000"/>
          <w:spacing w:val="-6"/>
          <w:sz w:val="21"/>
          <w:szCs w:val="21"/>
        </w:rPr>
        <w:t>on-</w:t>
      </w:r>
      <w:r w:rsidR="003704FF" w:rsidRPr="00F929C8">
        <w:rPr>
          <w:rFonts w:asciiTheme="minorHAnsi" w:eastAsia="Calibri" w:hAnsiTheme="minorHAnsi" w:cs="Arial"/>
          <w:bCs/>
          <w:color w:val="000000"/>
          <w:spacing w:val="-6"/>
          <w:sz w:val="21"/>
          <w:szCs w:val="21"/>
        </w:rPr>
        <w:t>E</w:t>
      </w:r>
      <w:r w:rsidR="00DB18F2" w:rsidRPr="00F929C8">
        <w:rPr>
          <w:rFonts w:asciiTheme="minorHAnsi" w:eastAsia="Calibri" w:hAnsiTheme="minorHAnsi" w:cs="Arial"/>
          <w:bCs/>
          <w:color w:val="000000"/>
          <w:spacing w:val="-6"/>
          <w:sz w:val="21"/>
          <w:szCs w:val="21"/>
        </w:rPr>
        <w:t xml:space="preserve">xecutive </w:t>
      </w:r>
      <w:r w:rsidR="00EA542D" w:rsidRPr="00F929C8">
        <w:rPr>
          <w:rFonts w:asciiTheme="minorHAnsi" w:eastAsia="Calibri" w:hAnsiTheme="minorHAnsi" w:cs="Arial"/>
          <w:bCs/>
          <w:color w:val="000000"/>
          <w:spacing w:val="-6"/>
          <w:sz w:val="21"/>
          <w:szCs w:val="21"/>
        </w:rPr>
        <w:t>D</w:t>
      </w:r>
      <w:r w:rsidR="00DB18F2" w:rsidRPr="00F929C8">
        <w:rPr>
          <w:rFonts w:asciiTheme="minorHAnsi" w:eastAsia="Calibri" w:hAnsiTheme="minorHAnsi" w:cs="Arial"/>
          <w:bCs/>
          <w:color w:val="000000"/>
          <w:spacing w:val="-6"/>
          <w:sz w:val="21"/>
          <w:szCs w:val="21"/>
        </w:rPr>
        <w:t>irectors</w:t>
      </w:r>
      <w:r w:rsidR="00C279AD" w:rsidRPr="00F929C8">
        <w:rPr>
          <w:rFonts w:asciiTheme="minorHAnsi" w:eastAsia="Calibri" w:hAnsiTheme="minorHAnsi" w:cs="Arial"/>
          <w:bCs/>
          <w:color w:val="000000"/>
          <w:spacing w:val="-6"/>
          <w:sz w:val="21"/>
          <w:szCs w:val="21"/>
        </w:rPr>
        <w:t xml:space="preserve"> and introduce the Non-Executive Equity Plan</w:t>
      </w:r>
      <w:r w:rsidR="00DB18F2" w:rsidRPr="00F929C8">
        <w:rPr>
          <w:rFonts w:asciiTheme="minorHAnsi" w:eastAsia="Calibri" w:hAnsiTheme="minorHAnsi" w:cs="Arial"/>
          <w:bCs/>
          <w:color w:val="000000"/>
          <w:spacing w:val="-6"/>
          <w:sz w:val="21"/>
          <w:szCs w:val="21"/>
        </w:rPr>
        <w:t xml:space="preserve">, </w:t>
      </w:r>
      <w:r w:rsidR="007C4A82" w:rsidRPr="00F929C8">
        <w:rPr>
          <w:rFonts w:asciiTheme="minorHAnsi" w:eastAsia="Calibri" w:hAnsiTheme="minorHAnsi" w:cs="Arial"/>
          <w:bCs/>
          <w:color w:val="000000"/>
          <w:spacing w:val="-6"/>
          <w:sz w:val="21"/>
          <w:szCs w:val="21"/>
        </w:rPr>
        <w:t>to align with market conditions,</w:t>
      </w:r>
      <w:r w:rsidR="001E48AB" w:rsidRPr="00F929C8">
        <w:rPr>
          <w:rFonts w:asciiTheme="minorHAnsi" w:eastAsia="Calibri" w:hAnsiTheme="minorHAnsi" w:cs="Arial"/>
          <w:bCs/>
          <w:color w:val="000000"/>
          <w:spacing w:val="-6"/>
          <w:sz w:val="21"/>
          <w:szCs w:val="21"/>
        </w:rPr>
        <w:t xml:space="preserve"> </w:t>
      </w:r>
      <w:r w:rsidR="00704FEC" w:rsidRPr="00F929C8">
        <w:rPr>
          <w:rFonts w:asciiTheme="minorHAnsi" w:eastAsia="Calibri" w:hAnsiTheme="minorHAnsi" w:cs="Arial"/>
          <w:bCs/>
          <w:color w:val="000000"/>
          <w:spacing w:val="-6"/>
          <w:sz w:val="21"/>
          <w:szCs w:val="21"/>
        </w:rPr>
        <w:t xml:space="preserve">amend </w:t>
      </w:r>
      <w:r w:rsidR="001E48AB" w:rsidRPr="00F929C8">
        <w:rPr>
          <w:rFonts w:asciiTheme="minorHAnsi" w:eastAsia="Calibri" w:hAnsiTheme="minorHAnsi" w:cs="Arial"/>
          <w:bCs/>
          <w:color w:val="000000"/>
          <w:spacing w:val="-6"/>
          <w:sz w:val="21"/>
          <w:szCs w:val="21"/>
        </w:rPr>
        <w:t xml:space="preserve">the </w:t>
      </w:r>
      <w:r w:rsidR="00EA542D" w:rsidRPr="00F929C8">
        <w:rPr>
          <w:rFonts w:asciiTheme="minorHAnsi" w:eastAsia="Calibri" w:hAnsiTheme="minorHAnsi" w:cs="Arial"/>
          <w:bCs/>
          <w:color w:val="000000"/>
          <w:spacing w:val="-6"/>
          <w:sz w:val="21"/>
          <w:szCs w:val="21"/>
        </w:rPr>
        <w:t xml:space="preserve">Share Matching Plan (the </w:t>
      </w:r>
      <w:r w:rsidR="001E48AB" w:rsidRPr="00F929C8">
        <w:rPr>
          <w:rFonts w:asciiTheme="minorHAnsi" w:eastAsia="Calibri" w:hAnsiTheme="minorHAnsi" w:cs="Arial"/>
          <w:bCs/>
          <w:color w:val="000000"/>
          <w:spacing w:val="-6"/>
          <w:sz w:val="21"/>
          <w:szCs w:val="21"/>
        </w:rPr>
        <w:t>SMP</w:t>
      </w:r>
      <w:r w:rsidR="00EA542D" w:rsidRPr="00F929C8">
        <w:rPr>
          <w:rFonts w:asciiTheme="minorHAnsi" w:eastAsia="Calibri" w:hAnsiTheme="minorHAnsi" w:cs="Arial"/>
          <w:bCs/>
          <w:color w:val="000000"/>
          <w:spacing w:val="-6"/>
          <w:sz w:val="21"/>
          <w:szCs w:val="21"/>
        </w:rPr>
        <w:t>)</w:t>
      </w:r>
      <w:r w:rsidR="00CA2F24" w:rsidRPr="00F929C8">
        <w:rPr>
          <w:rFonts w:asciiTheme="minorHAnsi" w:eastAsia="Calibri" w:hAnsiTheme="minorHAnsi" w:cs="Arial"/>
          <w:bCs/>
          <w:color w:val="000000"/>
          <w:spacing w:val="-6"/>
          <w:sz w:val="21"/>
          <w:szCs w:val="21"/>
        </w:rPr>
        <w:t xml:space="preserve"> </w:t>
      </w:r>
      <w:r w:rsidR="007C4A82" w:rsidRPr="00F929C8">
        <w:rPr>
          <w:rFonts w:asciiTheme="minorHAnsi" w:eastAsia="Calibri" w:hAnsiTheme="minorHAnsi" w:cs="Arial"/>
          <w:bCs/>
          <w:color w:val="000000"/>
          <w:spacing w:val="-6"/>
          <w:sz w:val="21"/>
          <w:szCs w:val="21"/>
        </w:rPr>
        <w:t xml:space="preserve">and as required to further the interests of the Company and its </w:t>
      </w:r>
      <w:r w:rsidR="00EA542D" w:rsidRPr="00F929C8">
        <w:rPr>
          <w:rFonts w:asciiTheme="minorHAnsi" w:eastAsia="Calibri" w:hAnsiTheme="minorHAnsi" w:cs="Arial"/>
          <w:bCs/>
          <w:color w:val="000000"/>
          <w:spacing w:val="-6"/>
          <w:sz w:val="21"/>
          <w:szCs w:val="21"/>
        </w:rPr>
        <w:t>business, considering the interests of its stakeholders</w:t>
      </w:r>
      <w:r w:rsidR="007C4A82" w:rsidRPr="00F929C8">
        <w:rPr>
          <w:rFonts w:asciiTheme="minorHAnsi" w:eastAsia="Calibri" w:hAnsiTheme="minorHAnsi" w:cs="Arial"/>
          <w:bCs/>
          <w:color w:val="000000"/>
          <w:spacing w:val="-6"/>
          <w:sz w:val="21"/>
          <w:szCs w:val="21"/>
        </w:rPr>
        <w:t xml:space="preserve">. </w:t>
      </w:r>
    </w:p>
    <w:p w14:paraId="4BDB345D" w14:textId="09870788" w:rsidR="00B93B5D" w:rsidRPr="00F929C8" w:rsidRDefault="00B93B5D" w:rsidP="00813D80">
      <w:pPr>
        <w:spacing w:after="120" w:line="360" w:lineRule="auto"/>
        <w:ind w:left="72"/>
        <w:jc w:val="both"/>
        <w:textAlignment w:val="baseline"/>
        <w:rPr>
          <w:rFonts w:asciiTheme="minorHAnsi" w:eastAsia="Calibri" w:hAnsiTheme="minorHAnsi" w:cs="Arial"/>
          <w:bCs/>
          <w:color w:val="000000"/>
          <w:spacing w:val="-6"/>
          <w:sz w:val="21"/>
          <w:szCs w:val="21"/>
        </w:rPr>
      </w:pPr>
      <w:r w:rsidRPr="00F929C8">
        <w:rPr>
          <w:rFonts w:asciiTheme="minorHAnsi" w:eastAsia="Calibri" w:hAnsiTheme="minorHAnsi" w:cs="Arial"/>
          <w:bCs/>
          <w:color w:val="000000"/>
          <w:spacing w:val="-6"/>
          <w:sz w:val="21"/>
          <w:szCs w:val="21"/>
        </w:rPr>
        <w:t xml:space="preserve">The Policy will be reviewed and (re-)adopted by </w:t>
      </w:r>
      <w:r w:rsidR="00EA542D" w:rsidRPr="00F929C8">
        <w:rPr>
          <w:rFonts w:asciiTheme="minorHAnsi" w:eastAsia="Calibri" w:hAnsiTheme="minorHAnsi" w:cs="Arial"/>
          <w:bCs/>
          <w:color w:val="000000"/>
          <w:spacing w:val="-6"/>
          <w:sz w:val="21"/>
          <w:szCs w:val="21"/>
        </w:rPr>
        <w:t xml:space="preserve">the </w:t>
      </w:r>
      <w:r w:rsidRPr="00F929C8">
        <w:rPr>
          <w:rFonts w:asciiTheme="minorHAnsi" w:eastAsia="Calibri" w:hAnsiTheme="minorHAnsi" w:cs="Arial"/>
          <w:bCs/>
          <w:color w:val="000000"/>
          <w:spacing w:val="-6"/>
          <w:sz w:val="21"/>
          <w:szCs w:val="21"/>
        </w:rPr>
        <w:t xml:space="preserve">General Meeting at least every three years, requiring a simple majority decision of the General Meeting. Annually the Board will report to the General Meeting on the </w:t>
      </w:r>
      <w:proofErr w:type="gramStart"/>
      <w:r w:rsidRPr="00F929C8">
        <w:rPr>
          <w:rFonts w:asciiTheme="minorHAnsi" w:eastAsia="Calibri" w:hAnsiTheme="minorHAnsi" w:cs="Arial"/>
          <w:bCs/>
          <w:color w:val="000000"/>
          <w:spacing w:val="-6"/>
          <w:sz w:val="21"/>
          <w:szCs w:val="21"/>
        </w:rPr>
        <w:t>manner in which</w:t>
      </w:r>
      <w:proofErr w:type="gramEnd"/>
      <w:r w:rsidRPr="00F929C8">
        <w:rPr>
          <w:rFonts w:asciiTheme="minorHAnsi" w:eastAsia="Calibri" w:hAnsiTheme="minorHAnsi" w:cs="Arial"/>
          <w:bCs/>
          <w:color w:val="000000"/>
          <w:spacing w:val="-6"/>
          <w:sz w:val="21"/>
          <w:szCs w:val="21"/>
        </w:rPr>
        <w:t xml:space="preserve"> the Policy was implemented with respect to the remuneration of the Directors during the past financial year. The General Meeting has an advisory vote on the remuneration report.</w:t>
      </w:r>
    </w:p>
    <w:p w14:paraId="261FDCF5" w14:textId="22D12092" w:rsidR="00756F5C" w:rsidRPr="00F929C8" w:rsidRDefault="00756F5C" w:rsidP="00B57908">
      <w:pPr>
        <w:spacing w:after="120" w:line="360" w:lineRule="auto"/>
        <w:ind w:left="72"/>
        <w:jc w:val="both"/>
        <w:textAlignment w:val="baseline"/>
        <w:rPr>
          <w:rFonts w:asciiTheme="minorHAnsi" w:eastAsia="Calibri" w:hAnsiTheme="minorHAnsi" w:cs="Arial"/>
          <w:b/>
          <w:color w:val="000000"/>
          <w:spacing w:val="-6"/>
          <w:sz w:val="21"/>
          <w:szCs w:val="21"/>
        </w:rPr>
      </w:pPr>
      <w:r w:rsidRPr="00F929C8">
        <w:rPr>
          <w:rFonts w:asciiTheme="minorHAnsi" w:eastAsia="Calibri" w:hAnsiTheme="minorHAnsi" w:cs="Arial"/>
          <w:b/>
          <w:color w:val="000000"/>
          <w:spacing w:val="-6"/>
          <w:sz w:val="21"/>
          <w:szCs w:val="21"/>
        </w:rPr>
        <w:t>Introduction</w:t>
      </w:r>
    </w:p>
    <w:p w14:paraId="2F6C586E" w14:textId="77777777" w:rsidR="00756F5C" w:rsidRPr="00F929C8" w:rsidRDefault="00756F5C" w:rsidP="00B57908">
      <w:pPr>
        <w:spacing w:after="120" w:line="360" w:lineRule="auto"/>
        <w:ind w:left="7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Policy is designed to </w:t>
      </w:r>
      <w:proofErr w:type="spellStart"/>
      <w:r w:rsidRPr="00F929C8">
        <w:rPr>
          <w:rFonts w:asciiTheme="minorHAnsi" w:eastAsia="Calibri" w:hAnsiTheme="minorHAnsi" w:cs="Arial"/>
          <w:color w:val="000000"/>
          <w:sz w:val="21"/>
          <w:szCs w:val="21"/>
        </w:rPr>
        <w:t>incentivise</w:t>
      </w:r>
      <w:proofErr w:type="spellEnd"/>
      <w:r w:rsidRPr="00F929C8">
        <w:rPr>
          <w:rFonts w:asciiTheme="minorHAnsi" w:eastAsia="Calibri" w:hAnsiTheme="minorHAnsi" w:cs="Arial"/>
          <w:color w:val="000000"/>
          <w:sz w:val="21"/>
          <w:szCs w:val="21"/>
        </w:rPr>
        <w:t xml:space="preserve"> and reward long-term, sustainable growth of the Company.</w:t>
      </w:r>
    </w:p>
    <w:p w14:paraId="6A893AFE" w14:textId="77777777" w:rsidR="00756F5C" w:rsidRPr="00F929C8" w:rsidRDefault="00756F5C" w:rsidP="00B57908">
      <w:pPr>
        <w:spacing w:after="120" w:line="360" w:lineRule="auto"/>
        <w:ind w:left="7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Policy contributes to the business strategy, the long-term interests, and the sustainability of the Company by:</w:t>
      </w:r>
    </w:p>
    <w:p w14:paraId="2DA9039B" w14:textId="1C38A0C9" w:rsidR="00756F5C" w:rsidRPr="00F929C8" w:rsidRDefault="00756F5C" w:rsidP="00B57908">
      <w:pPr>
        <w:numPr>
          <w:ilvl w:val="0"/>
          <w:numId w:val="1"/>
        </w:numPr>
        <w:tabs>
          <w:tab w:val="clear" w:pos="360"/>
          <w:tab w:val="left" w:pos="432"/>
        </w:tabs>
        <w:spacing w:after="120" w:line="360" w:lineRule="auto"/>
        <w:ind w:left="432" w:hanging="360"/>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providing remuneration opportunities that are intended to attract and retain qualified </w:t>
      </w:r>
      <w:proofErr w:type="gramStart"/>
      <w:r w:rsidRPr="00F929C8">
        <w:rPr>
          <w:rFonts w:asciiTheme="minorHAnsi" w:eastAsia="Calibri" w:hAnsiTheme="minorHAnsi" w:cs="Arial"/>
          <w:color w:val="000000"/>
          <w:sz w:val="21"/>
          <w:szCs w:val="21"/>
        </w:rPr>
        <w:t>Directors;</w:t>
      </w:r>
      <w:proofErr w:type="gramEnd"/>
    </w:p>
    <w:p w14:paraId="47FC2946" w14:textId="77777777" w:rsidR="00756F5C" w:rsidRPr="00F929C8" w:rsidRDefault="00756F5C" w:rsidP="00B57908">
      <w:pPr>
        <w:numPr>
          <w:ilvl w:val="0"/>
          <w:numId w:val="1"/>
        </w:numPr>
        <w:tabs>
          <w:tab w:val="clear" w:pos="360"/>
          <w:tab w:val="left" w:pos="432"/>
        </w:tabs>
        <w:spacing w:after="120" w:line="360" w:lineRule="auto"/>
        <w:ind w:left="432" w:hanging="360"/>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including performance measures and targets that are aligned with the business </w:t>
      </w:r>
      <w:proofErr w:type="gramStart"/>
      <w:r w:rsidRPr="00F929C8">
        <w:rPr>
          <w:rFonts w:asciiTheme="minorHAnsi" w:eastAsia="Calibri" w:hAnsiTheme="minorHAnsi" w:cs="Arial"/>
          <w:color w:val="000000"/>
          <w:sz w:val="21"/>
          <w:szCs w:val="21"/>
        </w:rPr>
        <w:t>strategy;</w:t>
      </w:r>
      <w:proofErr w:type="gramEnd"/>
    </w:p>
    <w:p w14:paraId="2FC845B6" w14:textId="77777777" w:rsidR="00756F5C" w:rsidRPr="00F929C8" w:rsidRDefault="00756F5C" w:rsidP="00B57908">
      <w:pPr>
        <w:numPr>
          <w:ilvl w:val="0"/>
          <w:numId w:val="1"/>
        </w:numPr>
        <w:tabs>
          <w:tab w:val="clear" w:pos="360"/>
          <w:tab w:val="left" w:pos="432"/>
        </w:tabs>
        <w:spacing w:after="120" w:line="360" w:lineRule="auto"/>
        <w:ind w:left="432" w:hanging="360"/>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enabling the Remuneration Committee to recover payments made in circumstances that did not warrant the </w:t>
      </w:r>
      <w:proofErr w:type="gramStart"/>
      <w:r w:rsidRPr="00F929C8">
        <w:rPr>
          <w:rFonts w:asciiTheme="minorHAnsi" w:eastAsia="Calibri" w:hAnsiTheme="minorHAnsi" w:cs="Arial"/>
          <w:color w:val="000000"/>
          <w:sz w:val="21"/>
          <w:szCs w:val="21"/>
        </w:rPr>
        <w:t>payment;</w:t>
      </w:r>
      <w:proofErr w:type="gramEnd"/>
    </w:p>
    <w:p w14:paraId="31272472" w14:textId="77777777" w:rsidR="00756F5C" w:rsidRPr="00F929C8" w:rsidRDefault="00756F5C" w:rsidP="00B57908">
      <w:pPr>
        <w:numPr>
          <w:ilvl w:val="0"/>
          <w:numId w:val="1"/>
        </w:numPr>
        <w:tabs>
          <w:tab w:val="clear" w:pos="360"/>
          <w:tab w:val="left" w:pos="432"/>
        </w:tabs>
        <w:spacing w:after="120" w:line="360" w:lineRule="auto"/>
        <w:ind w:left="432" w:hanging="360"/>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balancing the levels of fixed and variable pay in a manner suitable to the Company’s </w:t>
      </w:r>
      <w:proofErr w:type="gramStart"/>
      <w:r w:rsidRPr="00F929C8">
        <w:rPr>
          <w:rFonts w:asciiTheme="minorHAnsi" w:eastAsia="Calibri" w:hAnsiTheme="minorHAnsi" w:cs="Arial"/>
          <w:color w:val="000000"/>
          <w:sz w:val="21"/>
          <w:szCs w:val="21"/>
        </w:rPr>
        <w:t>circumstances;</w:t>
      </w:r>
      <w:proofErr w:type="gramEnd"/>
    </w:p>
    <w:p w14:paraId="45ADEE46" w14:textId="437CF139" w:rsidR="00756F5C" w:rsidRPr="00F929C8" w:rsidRDefault="00756F5C" w:rsidP="00B57908">
      <w:pPr>
        <w:numPr>
          <w:ilvl w:val="0"/>
          <w:numId w:val="1"/>
        </w:numPr>
        <w:tabs>
          <w:tab w:val="clear" w:pos="360"/>
          <w:tab w:val="left" w:pos="432"/>
        </w:tabs>
        <w:spacing w:after="120" w:line="360" w:lineRule="auto"/>
        <w:ind w:left="432" w:hanging="360"/>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delivering the long-term incentive element in shares and requiring demanding levels of shareholding to be built and maintained by Directors; and</w:t>
      </w:r>
    </w:p>
    <w:p w14:paraId="3C9ACA7F" w14:textId="77777777" w:rsidR="00756F5C" w:rsidRPr="00F929C8" w:rsidRDefault="00756F5C" w:rsidP="00B57908">
      <w:pPr>
        <w:numPr>
          <w:ilvl w:val="0"/>
          <w:numId w:val="1"/>
        </w:numPr>
        <w:tabs>
          <w:tab w:val="clear" w:pos="360"/>
          <w:tab w:val="left" w:pos="432"/>
        </w:tabs>
        <w:spacing w:after="120" w:line="360" w:lineRule="auto"/>
        <w:ind w:left="432" w:hanging="360"/>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being satisfactorily tested against the following six factors:</w:t>
      </w:r>
    </w:p>
    <w:p w14:paraId="392E9FCE" w14:textId="77777777" w:rsidR="003704FF" w:rsidRPr="00F929C8" w:rsidRDefault="003704FF" w:rsidP="00813D80">
      <w:pPr>
        <w:tabs>
          <w:tab w:val="left" w:pos="360"/>
          <w:tab w:val="left" w:pos="1080"/>
        </w:tabs>
        <w:spacing w:after="120" w:line="360" w:lineRule="auto"/>
        <w:jc w:val="both"/>
        <w:textAlignment w:val="baseline"/>
        <w:rPr>
          <w:rFonts w:asciiTheme="minorHAnsi" w:eastAsia="Calibri" w:hAnsiTheme="minorHAnsi" w:cs="Arial"/>
          <w:color w:val="000000"/>
          <w:sz w:val="21"/>
          <w:szCs w:val="21"/>
        </w:rPr>
      </w:pPr>
    </w:p>
    <w:p w14:paraId="51E18EC9" w14:textId="3330E76A" w:rsidR="003704FF" w:rsidRPr="00F929C8" w:rsidRDefault="003704FF" w:rsidP="00B57908">
      <w:pPr>
        <w:pStyle w:val="ListParagraph"/>
        <w:numPr>
          <w:ilvl w:val="0"/>
          <w:numId w:val="3"/>
        </w:numPr>
        <w:tabs>
          <w:tab w:val="left" w:pos="360"/>
          <w:tab w:val="left" w:pos="108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hAnsiTheme="minorHAnsi"/>
          <w:i/>
          <w:color w:val="000000"/>
          <w:sz w:val="21"/>
          <w:szCs w:val="21"/>
        </w:rPr>
        <w:t>Clarity</w:t>
      </w:r>
      <w:r w:rsidRPr="00F929C8">
        <w:rPr>
          <w:rFonts w:asciiTheme="minorHAnsi" w:eastAsia="Calibri" w:hAnsiTheme="minorHAnsi" w:cs="Arial"/>
          <w:color w:val="000000"/>
          <w:sz w:val="21"/>
          <w:szCs w:val="21"/>
        </w:rPr>
        <w:t xml:space="preserve"> – the Policy will be as clear as possible and the implementation will be described in straightforward concise terms to stakeholders, including shareholders and the workforce, annually in the remuneration report.</w:t>
      </w:r>
    </w:p>
    <w:p w14:paraId="2057EF4E" w14:textId="2B3EE602" w:rsidR="003704FF" w:rsidRPr="00F929C8" w:rsidRDefault="003704FF" w:rsidP="00B57908">
      <w:pPr>
        <w:pStyle w:val="ListParagraph"/>
        <w:numPr>
          <w:ilvl w:val="0"/>
          <w:numId w:val="3"/>
        </w:numPr>
        <w:tabs>
          <w:tab w:val="left" w:pos="360"/>
          <w:tab w:val="left" w:pos="108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hAnsiTheme="minorHAnsi"/>
          <w:i/>
          <w:color w:val="000000"/>
          <w:sz w:val="21"/>
          <w:szCs w:val="21"/>
        </w:rPr>
        <w:lastRenderedPageBreak/>
        <w:t>Simplicity</w:t>
      </w:r>
      <w:r w:rsidRPr="00F929C8">
        <w:rPr>
          <w:rFonts w:asciiTheme="minorHAnsi" w:eastAsia="Calibri" w:hAnsiTheme="minorHAnsi" w:cs="Arial"/>
          <w:color w:val="000000"/>
          <w:sz w:val="21"/>
          <w:szCs w:val="21"/>
        </w:rPr>
        <w:t xml:space="preserve"> – remuneration structures are as simple as possible, whilst at the same time incorporating the necessary structural features to ensure a strong alignment to performance and strategy and </w:t>
      </w:r>
      <w:proofErr w:type="spellStart"/>
      <w:r w:rsidRPr="00F929C8">
        <w:rPr>
          <w:rFonts w:asciiTheme="minorHAnsi" w:eastAsia="Calibri" w:hAnsiTheme="minorHAnsi" w:cs="Arial"/>
          <w:color w:val="000000"/>
          <w:sz w:val="21"/>
          <w:szCs w:val="21"/>
        </w:rPr>
        <w:t>minimising</w:t>
      </w:r>
      <w:proofErr w:type="spellEnd"/>
      <w:r w:rsidRPr="00F929C8">
        <w:rPr>
          <w:rFonts w:asciiTheme="minorHAnsi" w:eastAsia="Calibri" w:hAnsiTheme="minorHAnsi" w:cs="Arial"/>
          <w:color w:val="000000"/>
          <w:sz w:val="21"/>
          <w:szCs w:val="21"/>
        </w:rPr>
        <w:t xml:space="preserve"> the risk of rewarding failure</w:t>
      </w:r>
      <w:r w:rsidR="00CC770B" w:rsidRPr="00F929C8">
        <w:rPr>
          <w:rFonts w:asciiTheme="minorHAnsi" w:eastAsia="Calibri" w:hAnsiTheme="minorHAnsi" w:cs="Arial"/>
          <w:color w:val="000000"/>
          <w:sz w:val="21"/>
          <w:szCs w:val="21"/>
        </w:rPr>
        <w:t>.</w:t>
      </w:r>
    </w:p>
    <w:p w14:paraId="67688E71" w14:textId="270AAD73" w:rsidR="00756F5C" w:rsidRPr="00F929C8" w:rsidRDefault="00756F5C" w:rsidP="00B57908">
      <w:pPr>
        <w:pStyle w:val="ListParagraph"/>
        <w:numPr>
          <w:ilvl w:val="0"/>
          <w:numId w:val="3"/>
        </w:numPr>
        <w:tabs>
          <w:tab w:val="left" w:pos="360"/>
          <w:tab w:val="left" w:pos="108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hAnsiTheme="minorHAnsi"/>
          <w:i/>
          <w:color w:val="000000"/>
          <w:sz w:val="21"/>
          <w:szCs w:val="21"/>
        </w:rPr>
        <w:t>Risk</w:t>
      </w:r>
      <w:r w:rsidRPr="00F929C8">
        <w:rPr>
          <w:rFonts w:asciiTheme="minorHAnsi" w:eastAsia="Calibri" w:hAnsiTheme="minorHAnsi" w:cs="Arial"/>
          <w:color w:val="000000"/>
          <w:sz w:val="21"/>
          <w:szCs w:val="21"/>
        </w:rPr>
        <w:t xml:space="preserve"> – the Policy has been shaped to discourage inappropriate risk taking and enhance sustainability through a weighting of incentive pay towards long-term incentives,</w:t>
      </w:r>
      <w:r w:rsidR="00CC770B" w:rsidRPr="00F929C8">
        <w:rPr>
          <w:rFonts w:asciiTheme="minorHAnsi" w:eastAsia="Calibri" w:hAnsiTheme="minorHAnsi" w:cs="Arial"/>
          <w:color w:val="000000"/>
          <w:sz w:val="21"/>
          <w:szCs w:val="21"/>
        </w:rPr>
        <w:t xml:space="preserve"> and</w:t>
      </w:r>
      <w:r w:rsidRPr="00F929C8">
        <w:rPr>
          <w:rFonts w:asciiTheme="minorHAnsi" w:eastAsia="Calibri" w:hAnsiTheme="minorHAnsi" w:cs="Arial"/>
          <w:color w:val="000000"/>
          <w:sz w:val="21"/>
          <w:szCs w:val="21"/>
        </w:rPr>
        <w:t xml:space="preserve"> a balance between financial and non-financial measures in the annual bonus.</w:t>
      </w:r>
    </w:p>
    <w:p w14:paraId="312D8661" w14:textId="77777777" w:rsidR="00756F5C" w:rsidRPr="00F929C8" w:rsidRDefault="00756F5C" w:rsidP="00B57908">
      <w:pPr>
        <w:pStyle w:val="ListParagraph"/>
        <w:numPr>
          <w:ilvl w:val="0"/>
          <w:numId w:val="3"/>
        </w:numPr>
        <w:tabs>
          <w:tab w:val="left" w:pos="360"/>
          <w:tab w:val="left" w:pos="108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hAnsiTheme="minorHAnsi"/>
          <w:i/>
          <w:color w:val="000000"/>
          <w:sz w:val="21"/>
          <w:szCs w:val="21"/>
        </w:rPr>
        <w:t>Predictability</w:t>
      </w:r>
      <w:r w:rsidRPr="00F929C8">
        <w:rPr>
          <w:rFonts w:asciiTheme="minorHAnsi" w:eastAsia="Calibri" w:hAnsiTheme="minorHAnsi" w:cs="Arial"/>
          <w:color w:val="000000"/>
          <w:sz w:val="21"/>
          <w:szCs w:val="21"/>
        </w:rPr>
        <w:t xml:space="preserve"> – elements of the Policy are subject to caps and dilution limits. The Remuneration Committee may exercise its discretion to adjust the outturn if a formula-driven incentive payout is inappropriate in the circumstances. However, all payments made to Directors will be made in line with the Policy in force at the time, unless it is necessary to deviate from applying the Policy to ensure the long-term interests and stability of the Company or for its profitability, in which case the Company may temporarily deviate from applying the Policy in relation to the relevant individual. In all other cases specific shareholder approval will be sought prior to any payments or awards being made outside of the Policy.</w:t>
      </w:r>
    </w:p>
    <w:p w14:paraId="3A88FE59" w14:textId="0599141D" w:rsidR="00756F5C" w:rsidRPr="00F929C8" w:rsidRDefault="00756F5C" w:rsidP="00B57908">
      <w:pPr>
        <w:pStyle w:val="ListParagraph"/>
        <w:numPr>
          <w:ilvl w:val="0"/>
          <w:numId w:val="3"/>
        </w:numPr>
        <w:tabs>
          <w:tab w:val="left" w:pos="360"/>
          <w:tab w:val="left" w:pos="108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hAnsiTheme="minorHAnsi"/>
          <w:i/>
          <w:color w:val="000000"/>
          <w:sz w:val="21"/>
          <w:szCs w:val="21"/>
        </w:rPr>
        <w:t>Proportionality</w:t>
      </w:r>
      <w:r w:rsidRPr="00F929C8">
        <w:rPr>
          <w:rFonts w:asciiTheme="minorHAnsi" w:eastAsia="Calibri" w:hAnsiTheme="minorHAnsi" w:cs="Arial"/>
          <w:color w:val="000000"/>
          <w:sz w:val="21"/>
          <w:szCs w:val="21"/>
        </w:rPr>
        <w:t xml:space="preserve"> – there will be a sensible balance between fixed pay and variable pay and incentive pay </w:t>
      </w:r>
      <w:r w:rsidR="002A3ED6" w:rsidRPr="00F929C8">
        <w:rPr>
          <w:rFonts w:asciiTheme="minorHAnsi" w:eastAsia="Calibri" w:hAnsiTheme="minorHAnsi" w:cs="Arial"/>
          <w:color w:val="000000"/>
          <w:sz w:val="21"/>
          <w:szCs w:val="21"/>
        </w:rPr>
        <w:t>may</w:t>
      </w:r>
      <w:r w:rsidRPr="00F929C8">
        <w:rPr>
          <w:rFonts w:asciiTheme="minorHAnsi" w:eastAsia="Calibri" w:hAnsiTheme="minorHAnsi" w:cs="Arial"/>
          <w:color w:val="000000"/>
          <w:sz w:val="21"/>
          <w:szCs w:val="21"/>
        </w:rPr>
        <w:t xml:space="preserve"> be weighted to sustainable long-term performance. Incentive plans </w:t>
      </w:r>
      <w:r w:rsidR="00EA542D" w:rsidRPr="00F929C8">
        <w:rPr>
          <w:rFonts w:asciiTheme="minorHAnsi" w:eastAsia="Calibri" w:hAnsiTheme="minorHAnsi" w:cs="Arial"/>
          <w:color w:val="000000"/>
          <w:sz w:val="21"/>
          <w:szCs w:val="21"/>
        </w:rPr>
        <w:t xml:space="preserve">may </w:t>
      </w:r>
      <w:r w:rsidRPr="00F929C8">
        <w:rPr>
          <w:rFonts w:asciiTheme="minorHAnsi" w:eastAsia="Calibri" w:hAnsiTheme="minorHAnsi" w:cs="Arial"/>
          <w:color w:val="000000"/>
          <w:sz w:val="21"/>
          <w:szCs w:val="21"/>
        </w:rPr>
        <w:t>be subject to performance conditions that consider both financial and non-financial performance linked to strategy and</w:t>
      </w:r>
      <w:r w:rsidR="00EA542D" w:rsidRPr="00F929C8">
        <w:rPr>
          <w:rFonts w:asciiTheme="minorHAnsi" w:eastAsia="Calibri" w:hAnsiTheme="minorHAnsi" w:cs="Arial"/>
          <w:color w:val="000000"/>
          <w:sz w:val="21"/>
          <w:szCs w:val="21"/>
        </w:rPr>
        <w:t xml:space="preserve"> sustainable</w:t>
      </w:r>
      <w:r w:rsidRPr="00F929C8">
        <w:rPr>
          <w:rFonts w:asciiTheme="minorHAnsi" w:eastAsia="Calibri" w:hAnsiTheme="minorHAnsi" w:cs="Arial"/>
          <w:color w:val="000000"/>
          <w:sz w:val="21"/>
          <w:szCs w:val="21"/>
        </w:rPr>
        <w:t xml:space="preserve"> long-term value creation and stability. Outcomes will not reward poor performance.</w:t>
      </w:r>
    </w:p>
    <w:p w14:paraId="58FA7BB2" w14:textId="0C7AC722" w:rsidR="00E47D3A" w:rsidRPr="00F929C8" w:rsidRDefault="00E47D3A" w:rsidP="00B57908">
      <w:pPr>
        <w:pStyle w:val="ListParagraph"/>
        <w:numPr>
          <w:ilvl w:val="0"/>
          <w:numId w:val="3"/>
        </w:numPr>
        <w:tabs>
          <w:tab w:val="left" w:pos="360"/>
          <w:tab w:val="left" w:pos="108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hAnsiTheme="minorHAnsi"/>
          <w:i/>
          <w:color w:val="000000"/>
          <w:sz w:val="21"/>
          <w:szCs w:val="21"/>
        </w:rPr>
        <w:t>Alignment to culture and values</w:t>
      </w:r>
      <w:r w:rsidRPr="00F929C8">
        <w:rPr>
          <w:rFonts w:asciiTheme="minorHAnsi" w:eastAsia="Calibri" w:hAnsiTheme="minorHAnsi" w:cs="Arial"/>
          <w:color w:val="000000"/>
          <w:sz w:val="21"/>
          <w:szCs w:val="21"/>
        </w:rPr>
        <w:t xml:space="preserve"> – the Remuneration Committee considers Company culture and wider workforce policies and pay levels when shaping and developing executive remuneration policies to ensure there is coherence across the </w:t>
      </w:r>
      <w:proofErr w:type="spellStart"/>
      <w:r w:rsidRPr="00F929C8">
        <w:rPr>
          <w:rFonts w:asciiTheme="minorHAnsi" w:eastAsia="Calibri" w:hAnsiTheme="minorHAnsi" w:cs="Arial"/>
          <w:color w:val="000000"/>
          <w:sz w:val="21"/>
          <w:szCs w:val="21"/>
        </w:rPr>
        <w:t>organi</w:t>
      </w:r>
      <w:r w:rsidR="008E2E98" w:rsidRPr="00F929C8">
        <w:rPr>
          <w:rFonts w:asciiTheme="minorHAnsi" w:eastAsia="Calibri" w:hAnsiTheme="minorHAnsi" w:cs="Arial"/>
          <w:color w:val="000000"/>
          <w:sz w:val="21"/>
          <w:szCs w:val="21"/>
        </w:rPr>
        <w:t>s</w:t>
      </w:r>
      <w:r w:rsidRPr="00F929C8">
        <w:rPr>
          <w:rFonts w:asciiTheme="minorHAnsi" w:eastAsia="Calibri" w:hAnsiTheme="minorHAnsi" w:cs="Arial"/>
          <w:color w:val="000000"/>
          <w:sz w:val="21"/>
          <w:szCs w:val="21"/>
        </w:rPr>
        <w:t>ation</w:t>
      </w:r>
      <w:proofErr w:type="spellEnd"/>
      <w:r w:rsidRPr="00F929C8">
        <w:rPr>
          <w:rFonts w:asciiTheme="minorHAnsi" w:eastAsia="Calibri" w:hAnsiTheme="minorHAnsi" w:cs="Arial"/>
          <w:color w:val="000000"/>
          <w:sz w:val="21"/>
          <w:szCs w:val="21"/>
        </w:rPr>
        <w:t xml:space="preserve"> whilst avoiding discrimination. There is an emphasis on fairness of remuneration outcomes across the workforce and in the context of wider society. The discretions afforded </w:t>
      </w:r>
      <w:proofErr w:type="gramStart"/>
      <w:r w:rsidRPr="00F929C8">
        <w:rPr>
          <w:rFonts w:asciiTheme="minorHAnsi" w:eastAsia="Calibri" w:hAnsiTheme="minorHAnsi" w:cs="Arial"/>
          <w:color w:val="000000"/>
          <w:sz w:val="21"/>
          <w:szCs w:val="21"/>
        </w:rPr>
        <w:t>to</w:t>
      </w:r>
      <w:proofErr w:type="gramEnd"/>
      <w:r w:rsidRPr="00F929C8">
        <w:rPr>
          <w:rFonts w:asciiTheme="minorHAnsi" w:eastAsia="Calibri" w:hAnsiTheme="minorHAnsi" w:cs="Arial"/>
          <w:color w:val="000000"/>
          <w:sz w:val="21"/>
          <w:szCs w:val="21"/>
        </w:rPr>
        <w:t xml:space="preserve"> the Remuneration Committee enable it to amend the formulaic outcomes from incentives in several circumstances and they will enable it to take these issues into account.</w:t>
      </w:r>
    </w:p>
    <w:p w14:paraId="414454AF" w14:textId="77777777" w:rsidR="005E2C6F" w:rsidRPr="00F929C8" w:rsidRDefault="005E2C6F"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Remuneration Committee considers the way that employees in the Group are remunerated in applying the Policy.</w:t>
      </w:r>
    </w:p>
    <w:p w14:paraId="757193F7" w14:textId="77777777" w:rsidR="005E2C6F" w:rsidRPr="00F929C8" w:rsidRDefault="005E2C6F"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Remuneration Committee is also conscious of the Group’s identity, mission, values, customer viewpoint and culture in making its decisions in relation to the implementation of the Policy each year. It receives periodic updates on these factors from within the Group and seeks external advice when it is felt to be relevant.</w:t>
      </w:r>
    </w:p>
    <w:p w14:paraId="21465521" w14:textId="0E4A24F8" w:rsidR="005E2C6F" w:rsidRPr="00F929C8" w:rsidRDefault="005E2C6F"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lastRenderedPageBreak/>
        <w:t xml:space="preserve">The values of </w:t>
      </w:r>
      <w:r w:rsidRPr="00F929C8">
        <w:rPr>
          <w:rFonts w:asciiTheme="minorHAnsi" w:eastAsia="Calibri" w:hAnsiTheme="minorHAnsi" w:cs="Arial"/>
          <w:b/>
          <w:color w:val="000000"/>
          <w:sz w:val="21"/>
          <w:szCs w:val="21"/>
        </w:rPr>
        <w:t>simplicity</w:t>
      </w:r>
      <w:r w:rsidRPr="00F929C8">
        <w:rPr>
          <w:rFonts w:asciiTheme="minorHAnsi" w:eastAsia="Calibri" w:hAnsiTheme="minorHAnsi" w:cs="Arial"/>
          <w:color w:val="000000"/>
          <w:sz w:val="21"/>
          <w:szCs w:val="21"/>
        </w:rPr>
        <w:t xml:space="preserve">, </w:t>
      </w:r>
      <w:r w:rsidRPr="00F929C8">
        <w:rPr>
          <w:rFonts w:asciiTheme="minorHAnsi" w:eastAsia="Calibri" w:hAnsiTheme="minorHAnsi" w:cs="Arial"/>
          <w:b/>
          <w:color w:val="000000"/>
          <w:sz w:val="21"/>
          <w:szCs w:val="21"/>
        </w:rPr>
        <w:t xml:space="preserve">integrity </w:t>
      </w:r>
      <w:r w:rsidRPr="00F929C8">
        <w:rPr>
          <w:rFonts w:asciiTheme="minorHAnsi" w:eastAsia="Calibri" w:hAnsiTheme="minorHAnsi" w:cs="Arial"/>
          <w:color w:val="000000"/>
          <w:sz w:val="21"/>
          <w:szCs w:val="21"/>
        </w:rPr>
        <w:t xml:space="preserve">and </w:t>
      </w:r>
      <w:r w:rsidRPr="00F929C8">
        <w:rPr>
          <w:rFonts w:asciiTheme="minorHAnsi" w:eastAsia="Calibri" w:hAnsiTheme="minorHAnsi" w:cs="Arial"/>
          <w:b/>
          <w:color w:val="000000"/>
          <w:sz w:val="21"/>
          <w:szCs w:val="21"/>
        </w:rPr>
        <w:t xml:space="preserve">teamwork </w:t>
      </w:r>
      <w:r w:rsidRPr="00F929C8">
        <w:rPr>
          <w:rFonts w:asciiTheme="minorHAnsi" w:eastAsia="Calibri" w:hAnsiTheme="minorHAnsi" w:cs="Arial"/>
          <w:color w:val="000000"/>
          <w:sz w:val="21"/>
          <w:szCs w:val="21"/>
        </w:rPr>
        <w:t xml:space="preserve">are themes running through how the Policy operates, with shareholder alignment through equity-based incentives and shareholder value creation </w:t>
      </w:r>
      <w:proofErr w:type="spellStart"/>
      <w:r w:rsidR="00FF28A0" w:rsidRPr="00F929C8">
        <w:rPr>
          <w:rFonts w:asciiTheme="minorHAnsi" w:eastAsia="Calibri" w:hAnsiTheme="minorHAnsi" w:cs="Arial"/>
          <w:color w:val="000000"/>
          <w:sz w:val="21"/>
          <w:szCs w:val="21"/>
        </w:rPr>
        <w:t>emphasi</w:t>
      </w:r>
      <w:r w:rsidR="00EC114D" w:rsidRPr="00F929C8">
        <w:rPr>
          <w:rFonts w:asciiTheme="minorHAnsi" w:eastAsia="Calibri" w:hAnsiTheme="minorHAnsi" w:cs="Arial"/>
          <w:color w:val="000000"/>
          <w:sz w:val="21"/>
          <w:szCs w:val="21"/>
        </w:rPr>
        <w:t>s</w:t>
      </w:r>
      <w:r w:rsidR="00FF28A0" w:rsidRPr="00F929C8">
        <w:rPr>
          <w:rFonts w:asciiTheme="minorHAnsi" w:eastAsia="Calibri" w:hAnsiTheme="minorHAnsi" w:cs="Arial"/>
          <w:color w:val="000000"/>
          <w:sz w:val="21"/>
          <w:szCs w:val="21"/>
        </w:rPr>
        <w:t>ing</w:t>
      </w:r>
      <w:proofErr w:type="spellEnd"/>
      <w:r w:rsidRPr="00F929C8">
        <w:rPr>
          <w:rFonts w:asciiTheme="minorHAnsi" w:eastAsia="Calibri" w:hAnsiTheme="minorHAnsi" w:cs="Arial"/>
          <w:color w:val="000000"/>
          <w:sz w:val="21"/>
          <w:szCs w:val="21"/>
        </w:rPr>
        <w:t xml:space="preserve"> the fourth value of </w:t>
      </w:r>
      <w:r w:rsidRPr="00F929C8">
        <w:rPr>
          <w:rFonts w:asciiTheme="minorHAnsi" w:eastAsia="Calibri" w:hAnsiTheme="minorHAnsi" w:cs="Arial"/>
          <w:b/>
          <w:color w:val="000000"/>
          <w:sz w:val="21"/>
          <w:szCs w:val="21"/>
        </w:rPr>
        <w:t xml:space="preserve">enterprise </w:t>
      </w:r>
      <w:r w:rsidRPr="00F929C8">
        <w:rPr>
          <w:rFonts w:asciiTheme="minorHAnsi" w:eastAsia="Calibri" w:hAnsiTheme="minorHAnsi" w:cs="Arial"/>
          <w:color w:val="000000"/>
          <w:sz w:val="21"/>
          <w:szCs w:val="21"/>
        </w:rPr>
        <w:t>for the talented entrepreneurs leading the Group’s businesses.</w:t>
      </w:r>
    </w:p>
    <w:p w14:paraId="223CAA22" w14:textId="42A1A7D6" w:rsidR="005E2C6F" w:rsidRPr="00F929C8" w:rsidRDefault="005E2C6F"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Policy will apply to all remuneration arrangements for Directors unless it is necessary, for the </w:t>
      </w:r>
      <w:r w:rsidR="003704FF" w:rsidRPr="00F929C8">
        <w:rPr>
          <w:rFonts w:asciiTheme="minorHAnsi" w:eastAsia="Calibri" w:hAnsiTheme="minorHAnsi" w:cs="Arial"/>
          <w:color w:val="000000"/>
          <w:sz w:val="21"/>
          <w:szCs w:val="21"/>
        </w:rPr>
        <w:t>long-term</w:t>
      </w:r>
      <w:r w:rsidRPr="00F929C8">
        <w:rPr>
          <w:rFonts w:asciiTheme="minorHAnsi" w:eastAsia="Calibri" w:hAnsiTheme="minorHAnsi" w:cs="Arial"/>
          <w:color w:val="000000"/>
          <w:sz w:val="21"/>
          <w:szCs w:val="21"/>
        </w:rPr>
        <w:t xml:space="preserve"> interests and stability of the Company or for its profitability, to temporarily deviate from applying the Policy in relation to the individual covered by the Policy.</w:t>
      </w:r>
    </w:p>
    <w:p w14:paraId="5462F471" w14:textId="6E614834" w:rsidR="005E2C6F" w:rsidRPr="00F929C8" w:rsidRDefault="005E2C6F" w:rsidP="00203855">
      <w:pPr>
        <w:spacing w:after="120" w:line="360" w:lineRule="auto"/>
        <w:jc w:val="both"/>
        <w:textAlignment w:val="baseline"/>
        <w:rPr>
          <w:rFonts w:asciiTheme="minorHAnsi" w:eastAsia="Calibri" w:hAnsiTheme="minorHAnsi" w:cs="Arial"/>
          <w:b/>
          <w:color w:val="000000"/>
          <w:spacing w:val="-4"/>
          <w:sz w:val="21"/>
          <w:szCs w:val="21"/>
        </w:rPr>
      </w:pPr>
      <w:r w:rsidRPr="00F929C8">
        <w:rPr>
          <w:rFonts w:asciiTheme="minorHAnsi" w:eastAsia="Calibri" w:hAnsiTheme="minorHAnsi" w:cs="Arial"/>
          <w:b/>
          <w:color w:val="000000"/>
          <w:spacing w:val="-4"/>
          <w:sz w:val="21"/>
          <w:szCs w:val="21"/>
        </w:rPr>
        <w:t>Remuneration components for the Executive Directors</w:t>
      </w:r>
    </w:p>
    <w:p w14:paraId="0863776F" w14:textId="249CB43F" w:rsidR="00E30221" w:rsidRPr="00F929C8" w:rsidRDefault="005E2C6F" w:rsidP="00203855">
      <w:pPr>
        <w:spacing w:after="120" w:line="360" w:lineRule="auto"/>
        <w:jc w:val="both"/>
        <w:rPr>
          <w:rFonts w:asciiTheme="minorHAnsi" w:hAnsiTheme="minorHAnsi"/>
          <w:i/>
          <w:color w:val="000000"/>
          <w:sz w:val="21"/>
          <w:szCs w:val="21"/>
        </w:rPr>
      </w:pPr>
      <w:r w:rsidRPr="00F929C8">
        <w:rPr>
          <w:rFonts w:asciiTheme="minorHAnsi" w:eastAsia="Calibri" w:hAnsiTheme="minorHAnsi" w:cs="Arial"/>
          <w:color w:val="000000"/>
          <w:sz w:val="21"/>
          <w:szCs w:val="21"/>
        </w:rPr>
        <w:t>The following elements of the Policy have been designed to be related to relevant market levels and compl</w:t>
      </w:r>
      <w:r w:rsidR="003704FF" w:rsidRPr="00F929C8">
        <w:rPr>
          <w:rFonts w:asciiTheme="minorHAnsi" w:eastAsia="Calibri" w:hAnsiTheme="minorHAnsi" w:cs="Arial"/>
          <w:color w:val="000000"/>
          <w:sz w:val="21"/>
          <w:szCs w:val="21"/>
        </w:rPr>
        <w:t>e</w:t>
      </w:r>
      <w:r w:rsidRPr="00F929C8">
        <w:rPr>
          <w:rFonts w:asciiTheme="minorHAnsi" w:eastAsia="Calibri" w:hAnsiTheme="minorHAnsi" w:cs="Arial"/>
          <w:color w:val="000000"/>
          <w:sz w:val="21"/>
          <w:szCs w:val="21"/>
        </w:rPr>
        <w:t>ment one another. Each element of remuneration has a specific role to play and does not duplicate another as described below.</w:t>
      </w:r>
    </w:p>
    <w:p w14:paraId="2C501E68" w14:textId="09832D09" w:rsidR="002752CC" w:rsidRPr="00F929C8" w:rsidRDefault="002752CC" w:rsidP="00203855">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Base salary</w:t>
      </w:r>
    </w:p>
    <w:p w14:paraId="18AB4A29" w14:textId="77777777" w:rsidR="002752CC" w:rsidRPr="00F929C8" w:rsidRDefault="002752CC"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Base salaries will be determined considering several factors including the Director’s role, experience and skills, and market data.</w:t>
      </w:r>
    </w:p>
    <w:p w14:paraId="7E48BA38" w14:textId="42F8B651" w:rsidR="002752CC" w:rsidRPr="00F929C8" w:rsidRDefault="002752CC" w:rsidP="00203855">
      <w:pPr>
        <w:spacing w:after="120" w:line="360" w:lineRule="auto"/>
        <w:jc w:val="both"/>
        <w:textAlignment w:val="baseline"/>
        <w:rPr>
          <w:rFonts w:asciiTheme="minorHAnsi" w:eastAsia="Calibri" w:hAnsiTheme="minorHAnsi" w:cs="Arial"/>
          <w:color w:val="000000"/>
          <w:spacing w:val="-1"/>
          <w:sz w:val="21"/>
          <w:szCs w:val="21"/>
        </w:rPr>
      </w:pPr>
      <w:r w:rsidRPr="00F929C8">
        <w:rPr>
          <w:rFonts w:asciiTheme="minorHAnsi" w:eastAsia="Calibri" w:hAnsiTheme="minorHAnsi" w:cs="Arial"/>
          <w:color w:val="000000"/>
          <w:spacing w:val="-1"/>
          <w:sz w:val="21"/>
          <w:szCs w:val="21"/>
        </w:rPr>
        <w:t>Increases will generally be in line with the increase for the rest of the workforce, but the Remuneration Committee retains the discretion to increase salaries above this rate where appropriate (for example a material change to the scope of the role, or where the salary is out of line with market levels</w:t>
      </w:r>
      <w:r w:rsidR="00F325CE" w:rsidRPr="00F929C8">
        <w:rPr>
          <w:rFonts w:asciiTheme="minorHAnsi" w:eastAsia="Calibri" w:hAnsiTheme="minorHAnsi" w:cs="Arial"/>
          <w:color w:val="000000"/>
          <w:spacing w:val="-1"/>
          <w:sz w:val="21"/>
          <w:szCs w:val="21"/>
        </w:rPr>
        <w:t>)</w:t>
      </w:r>
      <w:r w:rsidRPr="00F929C8">
        <w:rPr>
          <w:rFonts w:asciiTheme="minorHAnsi" w:eastAsia="Calibri" w:hAnsiTheme="minorHAnsi" w:cs="Arial"/>
          <w:color w:val="000000"/>
          <w:spacing w:val="-1"/>
          <w:sz w:val="21"/>
          <w:szCs w:val="21"/>
        </w:rPr>
        <w:t>.</w:t>
      </w:r>
    </w:p>
    <w:p w14:paraId="3CDE2327" w14:textId="78272F87" w:rsidR="00656DA5" w:rsidRPr="00F929C8" w:rsidRDefault="002752CC" w:rsidP="00203855">
      <w:pPr>
        <w:spacing w:after="120" w:line="360" w:lineRule="auto"/>
        <w:jc w:val="both"/>
        <w:textAlignment w:val="baseline"/>
        <w:rPr>
          <w:rFonts w:asciiTheme="minorHAnsi" w:hAnsiTheme="minorHAnsi"/>
          <w:i/>
          <w:color w:val="000000"/>
          <w:sz w:val="21"/>
          <w:szCs w:val="21"/>
        </w:rPr>
      </w:pPr>
      <w:r w:rsidRPr="00F929C8">
        <w:rPr>
          <w:rFonts w:asciiTheme="minorHAnsi" w:eastAsia="Calibri" w:hAnsiTheme="minorHAnsi" w:cs="Arial"/>
          <w:color w:val="000000"/>
          <w:sz w:val="21"/>
          <w:szCs w:val="21"/>
        </w:rPr>
        <w:t>Individuals who are recruited or promoted to the Board may, on occasion, have their salaries set below the targeted Policy level until they become established in role. In such cases, subsequent increases in salary may be higher than the average until the target positioning is achieved.</w:t>
      </w:r>
    </w:p>
    <w:p w14:paraId="39DB30AF" w14:textId="3D0D28AC" w:rsidR="002752CC" w:rsidRPr="00F929C8" w:rsidRDefault="002752CC" w:rsidP="00203855">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Pension and benefits</w:t>
      </w:r>
    </w:p>
    <w:p w14:paraId="2C9EE2EE" w14:textId="773E1416" w:rsidR="005E2C6F" w:rsidRPr="00F929C8" w:rsidRDefault="00A52426" w:rsidP="00203855">
      <w:pPr>
        <w:spacing w:after="120" w:line="360" w:lineRule="auto"/>
        <w:jc w:val="both"/>
        <w:textAlignment w:val="baseline"/>
        <w:rPr>
          <w:rFonts w:asciiTheme="minorHAnsi" w:hAnsiTheme="minorHAnsi"/>
          <w:color w:val="000000"/>
          <w:sz w:val="21"/>
          <w:szCs w:val="21"/>
        </w:rPr>
      </w:pPr>
      <w:r w:rsidRPr="00F929C8">
        <w:rPr>
          <w:rFonts w:asciiTheme="minorHAnsi" w:eastAsia="Calibri" w:hAnsiTheme="minorHAnsi" w:cs="Arial"/>
          <w:color w:val="000000"/>
          <w:spacing w:val="-2"/>
          <w:sz w:val="21"/>
          <w:szCs w:val="21"/>
        </w:rPr>
        <w:t>Executive Directors</w:t>
      </w:r>
      <w:r w:rsidR="002752CC" w:rsidRPr="00F929C8">
        <w:rPr>
          <w:rFonts w:asciiTheme="minorHAnsi" w:eastAsia="Calibri" w:hAnsiTheme="minorHAnsi" w:cs="Arial"/>
          <w:color w:val="000000"/>
          <w:spacing w:val="-2"/>
          <w:sz w:val="21"/>
          <w:szCs w:val="21"/>
        </w:rPr>
        <w:t xml:space="preserve"> will receive a separate pension entitlement either in the form of participation in a defined contribution pension scheme with </w:t>
      </w:r>
      <w:r w:rsidRPr="00F929C8">
        <w:rPr>
          <w:rFonts w:asciiTheme="minorHAnsi" w:eastAsia="Calibri" w:hAnsiTheme="minorHAnsi" w:cs="Arial"/>
          <w:color w:val="000000"/>
          <w:spacing w:val="-2"/>
          <w:sz w:val="21"/>
          <w:szCs w:val="21"/>
        </w:rPr>
        <w:t xml:space="preserve">up to </w:t>
      </w:r>
      <w:r w:rsidR="002752CC" w:rsidRPr="00F929C8">
        <w:rPr>
          <w:rFonts w:asciiTheme="minorHAnsi" w:eastAsia="Calibri" w:hAnsiTheme="minorHAnsi" w:cs="Arial"/>
          <w:color w:val="000000"/>
          <w:spacing w:val="-2"/>
          <w:sz w:val="21"/>
          <w:szCs w:val="21"/>
        </w:rPr>
        <w:t xml:space="preserve">5% </w:t>
      </w:r>
      <w:proofErr w:type="gramStart"/>
      <w:r w:rsidR="002752CC" w:rsidRPr="00F929C8">
        <w:rPr>
          <w:rFonts w:asciiTheme="minorHAnsi" w:eastAsia="Calibri" w:hAnsiTheme="minorHAnsi" w:cs="Arial"/>
          <w:color w:val="000000"/>
          <w:spacing w:val="-2"/>
          <w:sz w:val="21"/>
          <w:szCs w:val="21"/>
        </w:rPr>
        <w:t>employee</w:t>
      </w:r>
      <w:proofErr w:type="gramEnd"/>
      <w:r w:rsidR="002752CC" w:rsidRPr="00F929C8">
        <w:rPr>
          <w:rFonts w:asciiTheme="minorHAnsi" w:eastAsia="Calibri" w:hAnsiTheme="minorHAnsi" w:cs="Arial"/>
          <w:color w:val="000000"/>
          <w:spacing w:val="-2"/>
          <w:sz w:val="21"/>
          <w:szCs w:val="21"/>
        </w:rPr>
        <w:t xml:space="preserve"> and 8% employer contribution or cash in lieu of pension at a rate of 13% of base salary, consistent with that of the wider workforce. Any changes in the workforce pension arrangements may be reflected in Executive Director remuneration. Executive Directors </w:t>
      </w:r>
      <w:r w:rsidR="00DC7459" w:rsidRPr="00F929C8">
        <w:rPr>
          <w:rFonts w:asciiTheme="minorHAnsi" w:eastAsia="Calibri" w:hAnsiTheme="minorHAnsi" w:cs="Arial"/>
          <w:color w:val="000000"/>
          <w:spacing w:val="-2"/>
          <w:sz w:val="21"/>
          <w:szCs w:val="21"/>
        </w:rPr>
        <w:t>are</w:t>
      </w:r>
      <w:r w:rsidR="002752CC" w:rsidRPr="00F929C8">
        <w:rPr>
          <w:rFonts w:asciiTheme="minorHAnsi" w:eastAsia="Calibri" w:hAnsiTheme="minorHAnsi" w:cs="Arial"/>
          <w:color w:val="000000"/>
          <w:spacing w:val="-2"/>
          <w:sz w:val="21"/>
          <w:szCs w:val="21"/>
        </w:rPr>
        <w:t xml:space="preserve"> eligible </w:t>
      </w:r>
      <w:r w:rsidR="00FF28A0" w:rsidRPr="00F929C8">
        <w:rPr>
          <w:rFonts w:asciiTheme="minorHAnsi" w:eastAsia="Calibri" w:hAnsiTheme="minorHAnsi" w:cs="Arial"/>
          <w:color w:val="000000"/>
          <w:spacing w:val="-2"/>
          <w:sz w:val="21"/>
          <w:szCs w:val="21"/>
        </w:rPr>
        <w:t>to receive</w:t>
      </w:r>
      <w:r w:rsidR="002752CC" w:rsidRPr="00F929C8">
        <w:rPr>
          <w:rFonts w:asciiTheme="minorHAnsi" w:eastAsia="Calibri" w:hAnsiTheme="minorHAnsi" w:cs="Arial"/>
          <w:color w:val="000000"/>
          <w:spacing w:val="-2"/>
          <w:sz w:val="21"/>
          <w:szCs w:val="21"/>
        </w:rPr>
        <w:t xml:space="preserve"> </w:t>
      </w:r>
      <w:r w:rsidR="00FF28A0" w:rsidRPr="00F929C8">
        <w:rPr>
          <w:rFonts w:asciiTheme="minorHAnsi" w:eastAsia="Calibri" w:hAnsiTheme="minorHAnsi" w:cs="Arial"/>
          <w:color w:val="000000"/>
          <w:spacing w:val="-2"/>
          <w:sz w:val="21"/>
          <w:szCs w:val="21"/>
        </w:rPr>
        <w:t xml:space="preserve">other </w:t>
      </w:r>
      <w:proofErr w:type="gramStart"/>
      <w:r w:rsidR="004C4CD7" w:rsidRPr="00F929C8">
        <w:rPr>
          <w:rFonts w:asciiTheme="minorHAnsi" w:eastAsia="Calibri" w:hAnsiTheme="minorHAnsi" w:cs="Arial"/>
          <w:color w:val="000000"/>
          <w:spacing w:val="-2"/>
          <w:sz w:val="21"/>
          <w:szCs w:val="21"/>
        </w:rPr>
        <w:t>benefits</w:t>
      </w:r>
      <w:proofErr w:type="gramEnd"/>
      <w:r w:rsidR="004C4CD7" w:rsidRPr="00F929C8">
        <w:rPr>
          <w:rFonts w:asciiTheme="minorHAnsi" w:eastAsia="Calibri" w:hAnsiTheme="minorHAnsi" w:cs="Arial"/>
          <w:color w:val="000000"/>
          <w:spacing w:val="-2"/>
          <w:sz w:val="21"/>
          <w:szCs w:val="21"/>
        </w:rPr>
        <w:t xml:space="preserve"> including </w:t>
      </w:r>
      <w:r w:rsidR="002752CC" w:rsidRPr="00F929C8">
        <w:rPr>
          <w:rFonts w:asciiTheme="minorHAnsi" w:eastAsia="Calibri" w:hAnsiTheme="minorHAnsi" w:cs="Arial"/>
          <w:color w:val="000000"/>
          <w:spacing w:val="-2"/>
          <w:sz w:val="21"/>
          <w:szCs w:val="21"/>
        </w:rPr>
        <w:t>the same benefits offered to the general workforce.</w:t>
      </w:r>
    </w:p>
    <w:p w14:paraId="0551B6FC" w14:textId="77777777" w:rsidR="00456055" w:rsidRPr="00F929C8" w:rsidRDefault="00456055" w:rsidP="00203855">
      <w:pPr>
        <w:spacing w:after="120" w:line="360" w:lineRule="auto"/>
        <w:jc w:val="both"/>
        <w:textAlignment w:val="baseline"/>
        <w:rPr>
          <w:rFonts w:asciiTheme="minorHAnsi" w:eastAsia="Calibri" w:hAnsiTheme="minorHAnsi" w:cs="Arial"/>
          <w:i/>
          <w:color w:val="000000"/>
          <w:spacing w:val="-1"/>
          <w:sz w:val="21"/>
          <w:szCs w:val="21"/>
        </w:rPr>
      </w:pPr>
      <w:r w:rsidRPr="00F929C8">
        <w:rPr>
          <w:rFonts w:asciiTheme="minorHAnsi" w:eastAsia="Calibri" w:hAnsiTheme="minorHAnsi" w:cs="Arial"/>
          <w:i/>
          <w:color w:val="000000"/>
          <w:spacing w:val="-1"/>
          <w:sz w:val="21"/>
          <w:szCs w:val="21"/>
        </w:rPr>
        <w:t>Variable remuneration</w:t>
      </w:r>
    </w:p>
    <w:p w14:paraId="2AE58716" w14:textId="77777777" w:rsidR="00456055" w:rsidRPr="00F929C8" w:rsidRDefault="00456055" w:rsidP="00203855">
      <w:pPr>
        <w:spacing w:after="120" w:line="360" w:lineRule="auto"/>
        <w:jc w:val="both"/>
        <w:textAlignment w:val="baseline"/>
        <w:rPr>
          <w:rFonts w:asciiTheme="minorHAnsi" w:eastAsia="Calibri" w:hAnsiTheme="minorHAnsi" w:cs="Arial"/>
          <w:color w:val="000000"/>
          <w:spacing w:val="-1"/>
          <w:sz w:val="21"/>
          <w:szCs w:val="21"/>
        </w:rPr>
      </w:pPr>
      <w:r w:rsidRPr="00F929C8">
        <w:rPr>
          <w:rFonts w:asciiTheme="minorHAnsi" w:eastAsia="Calibri" w:hAnsiTheme="minorHAnsi" w:cs="Arial"/>
          <w:color w:val="000000"/>
          <w:spacing w:val="-1"/>
          <w:sz w:val="21"/>
          <w:szCs w:val="21"/>
        </w:rPr>
        <w:t>The Executive Directors are eligible to receive short-term and long-term variable remuneration. Payment of the remuneration is dependent on the achievement of pre-established financial and non</w:t>
      </w:r>
      <w:r w:rsidRPr="00F929C8">
        <w:rPr>
          <w:rFonts w:asciiTheme="minorHAnsi" w:eastAsia="Calibri" w:hAnsiTheme="minorHAnsi" w:cs="Arial"/>
          <w:color w:val="000000"/>
          <w:spacing w:val="-1"/>
          <w:sz w:val="21"/>
          <w:szCs w:val="21"/>
        </w:rPr>
        <w:softHyphen/>
        <w:t xml:space="preserve">financial targets. Both the short and long-term incentives are linked to predetermined, measurable objectives which may be key performance indicators and correlate with the business strategy. </w:t>
      </w:r>
      <w:r w:rsidRPr="00F929C8">
        <w:rPr>
          <w:rFonts w:asciiTheme="minorHAnsi" w:eastAsia="Calibri" w:hAnsiTheme="minorHAnsi" w:cs="Arial"/>
          <w:color w:val="000000"/>
          <w:spacing w:val="-1"/>
          <w:sz w:val="21"/>
          <w:szCs w:val="21"/>
        </w:rPr>
        <w:lastRenderedPageBreak/>
        <w:t>Performance targets are set at a level to maintain good financial health enabling the Company to perform well, deliver shareholder returns and invest sustainably to achieve the strategic goals.</w:t>
      </w:r>
    </w:p>
    <w:p w14:paraId="1FF9F297" w14:textId="46094068" w:rsidR="00656DA5" w:rsidRPr="00F929C8" w:rsidRDefault="00456055" w:rsidP="00203855">
      <w:pPr>
        <w:spacing w:after="120" w:line="360" w:lineRule="auto"/>
        <w:jc w:val="both"/>
        <w:textAlignment w:val="baseline"/>
        <w:rPr>
          <w:rFonts w:asciiTheme="minorHAnsi" w:hAnsiTheme="minorHAnsi"/>
          <w:i/>
          <w:color w:val="000000"/>
          <w:sz w:val="21"/>
          <w:szCs w:val="21"/>
        </w:rPr>
      </w:pPr>
      <w:r w:rsidRPr="00F929C8">
        <w:rPr>
          <w:rFonts w:asciiTheme="minorHAnsi" w:eastAsia="Calibri" w:hAnsiTheme="minorHAnsi" w:cs="Arial"/>
          <w:color w:val="000000"/>
          <w:sz w:val="21"/>
          <w:szCs w:val="21"/>
        </w:rPr>
        <w:t>Scenario analyses are carried out annually to examine the relationship between the performance criteria chosen and the possible outcomes for the variable remuneration of the Executive Directors to ensure a link between remuneration and performance. The outcome is used to verify whether chosen performance criteria sufficiently support the Company’s strategic objectives and are appropriate under both the short-term and long-term incentive components of total remuneration.</w:t>
      </w:r>
    </w:p>
    <w:p w14:paraId="316D0CEC" w14:textId="30F772C0" w:rsidR="00456055" w:rsidRPr="00F929C8" w:rsidRDefault="00456055" w:rsidP="00203855">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Annual bonus plan</w:t>
      </w:r>
    </w:p>
    <w:p w14:paraId="667292FF" w14:textId="38D98CCE" w:rsidR="00656DA5" w:rsidRPr="00F929C8" w:rsidRDefault="00456055"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objectives of the annual bonus plan are to align the interests of Executive Directors to those of the Company and deliver </w:t>
      </w:r>
      <w:proofErr w:type="gramStart"/>
      <w:r w:rsidRPr="00F929C8">
        <w:rPr>
          <w:rFonts w:asciiTheme="minorHAnsi" w:eastAsia="Calibri" w:hAnsiTheme="minorHAnsi" w:cs="Arial"/>
          <w:color w:val="000000"/>
          <w:sz w:val="21"/>
          <w:szCs w:val="21"/>
        </w:rPr>
        <w:t>reward</w:t>
      </w:r>
      <w:proofErr w:type="gramEnd"/>
      <w:r w:rsidRPr="00F929C8">
        <w:rPr>
          <w:rFonts w:asciiTheme="minorHAnsi" w:eastAsia="Calibri" w:hAnsiTheme="minorHAnsi" w:cs="Arial"/>
          <w:color w:val="000000"/>
          <w:sz w:val="21"/>
          <w:szCs w:val="21"/>
        </w:rPr>
        <w:t xml:space="preserve"> only where performance warrants it. This is achieved through the performance measures selected and the targets that determine how much of the annual bonus will be earned in any year. Performance measures are aligned to the business strategy and stretching target ranges are set in the context of the business’ challenges for the year.</w:t>
      </w:r>
    </w:p>
    <w:p w14:paraId="08CF9DB2" w14:textId="24302A77" w:rsidR="00656DA5" w:rsidRPr="00F929C8" w:rsidRDefault="00456055" w:rsidP="00203855">
      <w:pPr>
        <w:spacing w:after="120" w:line="360" w:lineRule="auto"/>
        <w:jc w:val="both"/>
        <w:textAlignment w:val="baseline"/>
        <w:rPr>
          <w:rFonts w:asciiTheme="minorHAnsi" w:hAnsiTheme="minorHAnsi"/>
          <w:color w:val="000000"/>
          <w:spacing w:val="-2"/>
          <w:sz w:val="21"/>
          <w:szCs w:val="21"/>
        </w:rPr>
      </w:pPr>
      <w:r w:rsidRPr="00F929C8">
        <w:rPr>
          <w:rFonts w:asciiTheme="minorHAnsi" w:eastAsia="Calibri" w:hAnsiTheme="minorHAnsi" w:cs="Arial"/>
          <w:color w:val="000000"/>
          <w:sz w:val="21"/>
          <w:szCs w:val="21"/>
        </w:rPr>
        <w:t>The bonus payable to any Executive Director will be</w:t>
      </w:r>
      <w:r w:rsidR="00864E34" w:rsidRPr="00F929C8">
        <w:rPr>
          <w:rFonts w:asciiTheme="minorHAnsi" w:eastAsia="Calibri" w:hAnsiTheme="minorHAnsi" w:cs="Arial"/>
          <w:color w:val="000000"/>
          <w:sz w:val="21"/>
          <w:szCs w:val="21"/>
        </w:rPr>
        <w:t xml:space="preserve"> a maximum of </w:t>
      </w:r>
      <w:r w:rsidRPr="00F929C8">
        <w:rPr>
          <w:rFonts w:asciiTheme="minorHAnsi" w:eastAsia="Calibri" w:hAnsiTheme="minorHAnsi" w:cs="Arial"/>
          <w:color w:val="000000"/>
          <w:sz w:val="21"/>
          <w:szCs w:val="21"/>
        </w:rPr>
        <w:t xml:space="preserve">150% of </w:t>
      </w:r>
      <w:proofErr w:type="gramStart"/>
      <w:r w:rsidR="00EA542D" w:rsidRPr="00F929C8">
        <w:rPr>
          <w:rFonts w:asciiTheme="minorHAnsi" w:eastAsia="Calibri" w:hAnsiTheme="minorHAnsi" w:cs="Arial"/>
          <w:color w:val="000000"/>
          <w:sz w:val="21"/>
          <w:szCs w:val="21"/>
        </w:rPr>
        <w:t>base</w:t>
      </w:r>
      <w:proofErr w:type="gramEnd"/>
      <w:r w:rsidR="00EA542D" w:rsidRPr="00F929C8">
        <w:rPr>
          <w:rFonts w:asciiTheme="minorHAnsi" w:eastAsia="Calibri" w:hAnsiTheme="minorHAnsi" w:cs="Arial"/>
          <w:color w:val="000000"/>
          <w:sz w:val="21"/>
          <w:szCs w:val="21"/>
        </w:rPr>
        <w:t xml:space="preserve"> </w:t>
      </w:r>
      <w:r w:rsidRPr="00F929C8">
        <w:rPr>
          <w:rFonts w:asciiTheme="minorHAnsi" w:eastAsia="Calibri" w:hAnsiTheme="minorHAnsi" w:cs="Arial"/>
          <w:color w:val="000000"/>
          <w:sz w:val="21"/>
          <w:szCs w:val="21"/>
        </w:rPr>
        <w:t>salary. The annual bonus will be paid entirely in cash following the determination of the performance targets being met.</w:t>
      </w:r>
    </w:p>
    <w:p w14:paraId="28993893" w14:textId="51051C97" w:rsidR="00656DA5" w:rsidRPr="00F929C8" w:rsidRDefault="00456055" w:rsidP="00203855">
      <w:pPr>
        <w:spacing w:after="120" w:line="360" w:lineRule="auto"/>
        <w:jc w:val="both"/>
        <w:textAlignment w:val="baseline"/>
        <w:rPr>
          <w:rFonts w:asciiTheme="minorHAnsi" w:hAnsiTheme="minorHAnsi"/>
          <w:color w:val="000000"/>
          <w:sz w:val="21"/>
          <w:szCs w:val="21"/>
        </w:rPr>
      </w:pPr>
      <w:r w:rsidRPr="00F929C8">
        <w:rPr>
          <w:rFonts w:asciiTheme="minorHAnsi" w:eastAsia="Calibri" w:hAnsiTheme="minorHAnsi" w:cs="Arial"/>
          <w:color w:val="000000"/>
          <w:spacing w:val="-2"/>
          <w:sz w:val="21"/>
          <w:szCs w:val="21"/>
        </w:rPr>
        <w:t xml:space="preserve">Bonus payouts will be determined on the satisfaction of a range of key financial and personal/strategic objectives set annually by the Remuneration Committee. No more than 20% of the overall bonus opportunity </w:t>
      </w:r>
      <w:r w:rsidR="00951C28" w:rsidRPr="00F929C8">
        <w:rPr>
          <w:rFonts w:asciiTheme="minorHAnsi" w:eastAsia="Calibri" w:hAnsiTheme="minorHAnsi" w:cs="Arial"/>
          <w:color w:val="000000"/>
          <w:spacing w:val="-2"/>
          <w:sz w:val="21"/>
          <w:szCs w:val="21"/>
        </w:rPr>
        <w:t>will</w:t>
      </w:r>
      <w:r w:rsidRPr="00F929C8">
        <w:rPr>
          <w:rFonts w:asciiTheme="minorHAnsi" w:eastAsia="Calibri" w:hAnsiTheme="minorHAnsi" w:cs="Arial"/>
          <w:color w:val="000000"/>
          <w:spacing w:val="-2"/>
          <w:sz w:val="21"/>
          <w:szCs w:val="21"/>
        </w:rPr>
        <w:t xml:space="preserve"> be payable by reference to performance against personal and strategic targets.</w:t>
      </w:r>
    </w:p>
    <w:p w14:paraId="2C5DD91B" w14:textId="045F6F1D" w:rsidR="00456055" w:rsidRPr="00F929C8" w:rsidRDefault="003936FF" w:rsidP="00203855">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Key financial measures will comprise of</w:t>
      </w:r>
      <w:r w:rsidR="00456055" w:rsidRPr="00F929C8">
        <w:rPr>
          <w:rFonts w:asciiTheme="minorHAnsi" w:eastAsia="Calibri" w:hAnsiTheme="minorHAnsi" w:cs="Arial"/>
          <w:color w:val="000000"/>
          <w:sz w:val="21"/>
          <w:szCs w:val="21"/>
        </w:rPr>
        <w:t xml:space="preserve"> any combination of EBITDA, return on investment, cash flow and other corporate financial measures may make up the financial element of the bonus, which will be at least 80% of the overall opportunity. </w:t>
      </w:r>
      <w:proofErr w:type="gramStart"/>
      <w:r w:rsidR="00456055" w:rsidRPr="00F929C8">
        <w:rPr>
          <w:rFonts w:asciiTheme="minorHAnsi" w:eastAsia="Calibri" w:hAnsiTheme="minorHAnsi" w:cs="Arial"/>
          <w:color w:val="000000"/>
          <w:sz w:val="21"/>
          <w:szCs w:val="21"/>
        </w:rPr>
        <w:t>Bonus</w:t>
      </w:r>
      <w:proofErr w:type="gramEnd"/>
      <w:r w:rsidR="00456055" w:rsidRPr="00F929C8">
        <w:rPr>
          <w:rFonts w:asciiTheme="minorHAnsi" w:eastAsia="Calibri" w:hAnsiTheme="minorHAnsi" w:cs="Arial"/>
          <w:color w:val="000000"/>
          <w:sz w:val="21"/>
          <w:szCs w:val="21"/>
        </w:rPr>
        <w:t xml:space="preserve"> targets used will be disclosed in the relevant Directors’ remuneration report in the following year, subject to issues of commercial sensitivity.</w:t>
      </w:r>
    </w:p>
    <w:p w14:paraId="6979A074" w14:textId="62AEFAA9" w:rsidR="00656DA5" w:rsidRPr="00F929C8" w:rsidRDefault="00456055" w:rsidP="00203855">
      <w:pPr>
        <w:spacing w:after="120" w:line="360" w:lineRule="auto"/>
        <w:jc w:val="both"/>
        <w:textAlignment w:val="baseline"/>
        <w:rPr>
          <w:rFonts w:asciiTheme="minorHAnsi" w:hAnsiTheme="minorHAnsi"/>
          <w:color w:val="000000"/>
          <w:spacing w:val="-1"/>
          <w:sz w:val="21"/>
          <w:szCs w:val="21"/>
        </w:rPr>
      </w:pPr>
      <w:r w:rsidRPr="00F929C8">
        <w:rPr>
          <w:rFonts w:asciiTheme="minorHAnsi" w:eastAsia="Calibri" w:hAnsiTheme="minorHAnsi" w:cs="Arial"/>
          <w:color w:val="000000"/>
          <w:sz w:val="21"/>
          <w:szCs w:val="21"/>
        </w:rPr>
        <w:t>The Remuneration Committee relies on the financial results from the audited accounts and assesses any non-corporate financial performance targets using the expertise of independent advisors or recommendations from the Company’s Non-Executive Directors. It may also rely on calculations performed by the internal audit function.</w:t>
      </w:r>
    </w:p>
    <w:p w14:paraId="1BD63F93" w14:textId="7628B0F5" w:rsidR="00456055" w:rsidRPr="00F929C8" w:rsidRDefault="00456055" w:rsidP="00203855">
      <w:pPr>
        <w:spacing w:after="120" w:line="360" w:lineRule="auto"/>
        <w:jc w:val="both"/>
        <w:textAlignment w:val="baseline"/>
        <w:rPr>
          <w:rFonts w:asciiTheme="minorHAnsi" w:hAnsiTheme="minorHAnsi"/>
          <w:color w:val="000000"/>
          <w:sz w:val="21"/>
          <w:szCs w:val="21"/>
        </w:rPr>
      </w:pPr>
      <w:r w:rsidRPr="00F929C8">
        <w:rPr>
          <w:rFonts w:asciiTheme="minorHAnsi" w:eastAsia="Calibri" w:hAnsiTheme="minorHAnsi" w:cs="Arial"/>
          <w:color w:val="000000"/>
          <w:spacing w:val="-1"/>
          <w:sz w:val="21"/>
          <w:szCs w:val="21"/>
        </w:rPr>
        <w:t>Discretion to adjust the provisional bonus outturn may be exercised in cases where the Remuneration Committee believes that it would be appropriate to ensure that the amount of any bonus is reflective of the underlying business performance of the Group and/or wider circumstances.</w:t>
      </w:r>
    </w:p>
    <w:p w14:paraId="3507ED5E" w14:textId="1ECA80AD" w:rsidR="00245A9E" w:rsidRPr="00F929C8" w:rsidRDefault="00245A9E"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Long-term incentive plans</w:t>
      </w:r>
      <w:r w:rsidR="00C97674" w:rsidRPr="00F929C8">
        <w:rPr>
          <w:rFonts w:asciiTheme="minorHAnsi" w:eastAsia="Calibri" w:hAnsiTheme="minorHAnsi" w:cs="Arial"/>
          <w:i/>
          <w:color w:val="000000"/>
          <w:sz w:val="21"/>
          <w:szCs w:val="21"/>
        </w:rPr>
        <w:t xml:space="preserve"> (LTIPs)</w:t>
      </w:r>
    </w:p>
    <w:p w14:paraId="0C5CE18A" w14:textId="0471E82F" w:rsidR="00CA7525" w:rsidRPr="00F929C8" w:rsidRDefault="00CA7525"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Group will have 3 </w:t>
      </w:r>
      <w:proofErr w:type="gramStart"/>
      <w:r w:rsidRPr="00F929C8">
        <w:rPr>
          <w:rFonts w:asciiTheme="minorHAnsi" w:eastAsia="Calibri" w:hAnsiTheme="minorHAnsi" w:cs="Arial"/>
          <w:color w:val="000000"/>
          <w:sz w:val="21"/>
          <w:szCs w:val="21"/>
        </w:rPr>
        <w:t>long term</w:t>
      </w:r>
      <w:proofErr w:type="gramEnd"/>
      <w:r w:rsidRPr="00F929C8">
        <w:rPr>
          <w:rFonts w:asciiTheme="minorHAnsi" w:eastAsia="Calibri" w:hAnsiTheme="minorHAnsi" w:cs="Arial"/>
          <w:color w:val="000000"/>
          <w:sz w:val="21"/>
          <w:szCs w:val="21"/>
        </w:rPr>
        <w:t xml:space="preserve"> incentive plans</w:t>
      </w:r>
      <w:r w:rsidR="00172033" w:rsidRPr="00F929C8">
        <w:rPr>
          <w:rFonts w:asciiTheme="minorHAnsi" w:eastAsia="Calibri" w:hAnsiTheme="minorHAnsi" w:cs="Arial"/>
          <w:color w:val="000000"/>
          <w:sz w:val="21"/>
          <w:szCs w:val="21"/>
        </w:rPr>
        <w:t xml:space="preserve"> for Executive Directors</w:t>
      </w:r>
      <w:r w:rsidRPr="00F929C8">
        <w:rPr>
          <w:rFonts w:asciiTheme="minorHAnsi" w:eastAsia="Calibri" w:hAnsiTheme="minorHAnsi" w:cs="Arial"/>
          <w:color w:val="000000"/>
          <w:sz w:val="21"/>
          <w:szCs w:val="21"/>
        </w:rPr>
        <w:t xml:space="preserve">, </w:t>
      </w:r>
      <w:proofErr w:type="gramStart"/>
      <w:r w:rsidRPr="00F929C8">
        <w:rPr>
          <w:rFonts w:asciiTheme="minorHAnsi" w:eastAsia="Calibri" w:hAnsiTheme="minorHAnsi" w:cs="Arial"/>
          <w:color w:val="000000"/>
          <w:sz w:val="21"/>
          <w:szCs w:val="21"/>
        </w:rPr>
        <w:t>namely</w:t>
      </w:r>
      <w:r w:rsidR="00C97674" w:rsidRPr="00F929C8">
        <w:rPr>
          <w:rFonts w:asciiTheme="minorHAnsi" w:eastAsia="Calibri" w:hAnsiTheme="minorHAnsi" w:cs="Arial"/>
          <w:color w:val="000000"/>
          <w:sz w:val="21"/>
          <w:szCs w:val="21"/>
        </w:rPr>
        <w:t>;</w:t>
      </w:r>
      <w:proofErr w:type="gramEnd"/>
    </w:p>
    <w:p w14:paraId="3F94F240" w14:textId="762F8525" w:rsidR="00CA7525" w:rsidRPr="00F929C8" w:rsidRDefault="00CA7525"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VCP</w:t>
      </w:r>
      <w:r w:rsidR="00C97674" w:rsidRPr="00F929C8">
        <w:rPr>
          <w:rFonts w:asciiTheme="minorHAnsi" w:eastAsia="Calibri" w:hAnsiTheme="minorHAnsi" w:cs="Arial"/>
          <w:color w:val="000000"/>
          <w:sz w:val="21"/>
          <w:szCs w:val="21"/>
        </w:rPr>
        <w:t xml:space="preserve"> (Value Creation Plan)</w:t>
      </w:r>
      <w:r w:rsidR="00EC114D" w:rsidRPr="00F929C8">
        <w:rPr>
          <w:rFonts w:asciiTheme="minorHAnsi" w:eastAsia="Calibri" w:hAnsiTheme="minorHAnsi" w:cs="Arial"/>
          <w:color w:val="000000"/>
          <w:sz w:val="21"/>
          <w:szCs w:val="21"/>
        </w:rPr>
        <w:t>:</w:t>
      </w:r>
      <w:r w:rsidRPr="00F929C8">
        <w:rPr>
          <w:rFonts w:asciiTheme="minorHAnsi" w:eastAsia="Calibri" w:hAnsiTheme="minorHAnsi" w:cs="Arial"/>
          <w:color w:val="000000"/>
          <w:sz w:val="21"/>
          <w:szCs w:val="21"/>
        </w:rPr>
        <w:t xml:space="preserve"> introduced in </w:t>
      </w:r>
      <w:r w:rsidR="00EC114D" w:rsidRPr="00F929C8">
        <w:rPr>
          <w:rFonts w:asciiTheme="minorHAnsi" w:eastAsia="Calibri" w:hAnsiTheme="minorHAnsi" w:cs="Arial"/>
          <w:color w:val="000000"/>
          <w:sz w:val="21"/>
          <w:szCs w:val="21"/>
        </w:rPr>
        <w:t>2020</w:t>
      </w:r>
      <w:r w:rsidRPr="00F929C8">
        <w:rPr>
          <w:rFonts w:asciiTheme="minorHAnsi" w:eastAsia="Calibri" w:hAnsiTheme="minorHAnsi" w:cs="Arial"/>
          <w:color w:val="000000"/>
          <w:sz w:val="21"/>
          <w:szCs w:val="21"/>
        </w:rPr>
        <w:t xml:space="preserve">, it has a single participant remaining and will run until the end of </w:t>
      </w:r>
      <w:r w:rsidR="00EC114D" w:rsidRPr="00F929C8">
        <w:rPr>
          <w:rFonts w:asciiTheme="minorHAnsi" w:eastAsia="Calibri" w:hAnsiTheme="minorHAnsi" w:cs="Arial"/>
          <w:color w:val="000000"/>
          <w:sz w:val="21"/>
          <w:szCs w:val="21"/>
        </w:rPr>
        <w:t>the</w:t>
      </w:r>
      <w:r w:rsidRPr="00F929C8">
        <w:rPr>
          <w:rFonts w:asciiTheme="minorHAnsi" w:eastAsia="Calibri" w:hAnsiTheme="minorHAnsi" w:cs="Arial"/>
          <w:color w:val="000000"/>
          <w:sz w:val="21"/>
          <w:szCs w:val="21"/>
        </w:rPr>
        <w:t xml:space="preserve"> 2025</w:t>
      </w:r>
      <w:r w:rsidR="00EC114D" w:rsidRPr="00F929C8">
        <w:rPr>
          <w:rFonts w:asciiTheme="minorHAnsi" w:eastAsia="Calibri" w:hAnsiTheme="minorHAnsi" w:cs="Arial"/>
          <w:color w:val="000000"/>
          <w:sz w:val="21"/>
          <w:szCs w:val="21"/>
        </w:rPr>
        <w:t xml:space="preserve"> financial year</w:t>
      </w:r>
      <w:r w:rsidRPr="00F929C8">
        <w:rPr>
          <w:rFonts w:asciiTheme="minorHAnsi" w:eastAsia="Calibri" w:hAnsiTheme="minorHAnsi" w:cs="Arial"/>
          <w:color w:val="000000"/>
          <w:sz w:val="21"/>
          <w:szCs w:val="21"/>
        </w:rPr>
        <w:t xml:space="preserve">, with the outcome measured in January 2026. </w:t>
      </w:r>
    </w:p>
    <w:p w14:paraId="3663857A" w14:textId="5C3653EC" w:rsidR="00CA7525" w:rsidRPr="00F929C8" w:rsidRDefault="00CA7525"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lastRenderedPageBreak/>
        <w:t>PSP</w:t>
      </w:r>
      <w:r w:rsidR="00C97674" w:rsidRPr="00F929C8">
        <w:rPr>
          <w:rFonts w:asciiTheme="minorHAnsi" w:eastAsia="Calibri" w:hAnsiTheme="minorHAnsi" w:cs="Arial"/>
          <w:color w:val="000000"/>
          <w:sz w:val="21"/>
          <w:szCs w:val="21"/>
        </w:rPr>
        <w:t xml:space="preserve"> (Performance Share </w:t>
      </w:r>
      <w:proofErr w:type="gramStart"/>
      <w:r w:rsidR="00C97674" w:rsidRPr="00F929C8">
        <w:rPr>
          <w:rFonts w:asciiTheme="minorHAnsi" w:eastAsia="Calibri" w:hAnsiTheme="minorHAnsi" w:cs="Arial"/>
          <w:color w:val="000000"/>
          <w:sz w:val="21"/>
          <w:szCs w:val="21"/>
        </w:rPr>
        <w:t>Plan</w:t>
      </w:r>
      <w:r w:rsidR="00EC114D" w:rsidRPr="00F929C8">
        <w:rPr>
          <w:rFonts w:asciiTheme="minorHAnsi" w:eastAsia="Calibri" w:hAnsiTheme="minorHAnsi" w:cs="Arial"/>
          <w:color w:val="000000"/>
          <w:sz w:val="21"/>
          <w:szCs w:val="21"/>
        </w:rPr>
        <w:t>, and</w:t>
      </w:r>
      <w:proofErr w:type="gramEnd"/>
      <w:r w:rsidR="00EC114D" w:rsidRPr="00F929C8">
        <w:rPr>
          <w:rFonts w:asciiTheme="minorHAnsi" w:eastAsia="Calibri" w:hAnsiTheme="minorHAnsi" w:cs="Arial"/>
          <w:color w:val="000000"/>
          <w:sz w:val="21"/>
          <w:szCs w:val="21"/>
        </w:rPr>
        <w:t xml:space="preserve"> previously referred to as the LTIP</w:t>
      </w:r>
      <w:r w:rsidR="00C97674" w:rsidRPr="00F929C8">
        <w:rPr>
          <w:rFonts w:asciiTheme="minorHAnsi" w:eastAsia="Calibri" w:hAnsiTheme="minorHAnsi" w:cs="Arial"/>
          <w:color w:val="000000"/>
          <w:sz w:val="21"/>
          <w:szCs w:val="21"/>
        </w:rPr>
        <w:t>)</w:t>
      </w:r>
      <w:r w:rsidRPr="00F929C8">
        <w:rPr>
          <w:rFonts w:asciiTheme="minorHAnsi" w:eastAsia="Calibri" w:hAnsiTheme="minorHAnsi" w:cs="Arial"/>
          <w:color w:val="000000"/>
          <w:sz w:val="21"/>
          <w:szCs w:val="21"/>
        </w:rPr>
        <w:t>: introduced for the 2023-24 fi</w:t>
      </w:r>
      <w:r w:rsidR="0018578E" w:rsidRPr="00F929C8">
        <w:rPr>
          <w:rFonts w:asciiTheme="minorHAnsi" w:eastAsia="Calibri" w:hAnsiTheme="minorHAnsi" w:cs="Arial"/>
          <w:color w:val="000000"/>
          <w:sz w:val="21"/>
          <w:szCs w:val="21"/>
        </w:rPr>
        <w:t>nancial</w:t>
      </w:r>
      <w:r w:rsidRPr="00F929C8">
        <w:rPr>
          <w:rFonts w:asciiTheme="minorHAnsi" w:eastAsia="Calibri" w:hAnsiTheme="minorHAnsi" w:cs="Arial"/>
          <w:color w:val="000000"/>
          <w:sz w:val="21"/>
          <w:szCs w:val="21"/>
        </w:rPr>
        <w:t xml:space="preserve"> year for the Executive Directors and other employees. It has a </w:t>
      </w:r>
      <w:proofErr w:type="gramStart"/>
      <w:r w:rsidRPr="00F929C8">
        <w:rPr>
          <w:rFonts w:asciiTheme="minorHAnsi" w:eastAsia="Calibri" w:hAnsiTheme="minorHAnsi" w:cs="Arial"/>
          <w:color w:val="000000"/>
          <w:sz w:val="21"/>
          <w:szCs w:val="21"/>
        </w:rPr>
        <w:t>3 year</w:t>
      </w:r>
      <w:proofErr w:type="gramEnd"/>
      <w:r w:rsidRPr="00F929C8">
        <w:rPr>
          <w:rFonts w:asciiTheme="minorHAnsi" w:eastAsia="Calibri" w:hAnsiTheme="minorHAnsi" w:cs="Arial"/>
          <w:color w:val="000000"/>
          <w:sz w:val="21"/>
          <w:szCs w:val="21"/>
        </w:rPr>
        <w:t xml:space="preserve"> performance period. </w:t>
      </w:r>
    </w:p>
    <w:p w14:paraId="7BFE7AC8" w14:textId="72E4A8AD" w:rsidR="00CA7525" w:rsidRPr="00F929C8" w:rsidRDefault="00EC114D"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SMP (</w:t>
      </w:r>
      <w:r w:rsidR="0036236C" w:rsidRPr="00F929C8">
        <w:rPr>
          <w:rFonts w:asciiTheme="minorHAnsi" w:eastAsia="Calibri" w:hAnsiTheme="minorHAnsi" w:cs="Arial"/>
          <w:color w:val="000000"/>
          <w:sz w:val="21"/>
          <w:szCs w:val="21"/>
        </w:rPr>
        <w:t xml:space="preserve">Share </w:t>
      </w:r>
      <w:r w:rsidR="00CA7525" w:rsidRPr="00F929C8">
        <w:rPr>
          <w:rFonts w:asciiTheme="minorHAnsi" w:eastAsia="Calibri" w:hAnsiTheme="minorHAnsi" w:cs="Arial"/>
          <w:color w:val="000000"/>
          <w:sz w:val="21"/>
          <w:szCs w:val="21"/>
        </w:rPr>
        <w:t>Matching Plan</w:t>
      </w:r>
      <w:r w:rsidRPr="00F929C8">
        <w:rPr>
          <w:rFonts w:asciiTheme="minorHAnsi" w:eastAsia="Calibri" w:hAnsiTheme="minorHAnsi" w:cs="Arial"/>
          <w:color w:val="000000"/>
          <w:sz w:val="21"/>
          <w:szCs w:val="21"/>
        </w:rPr>
        <w:t>)</w:t>
      </w:r>
      <w:r w:rsidR="00CA7525" w:rsidRPr="00F929C8">
        <w:rPr>
          <w:rFonts w:asciiTheme="minorHAnsi" w:eastAsia="Calibri" w:hAnsiTheme="minorHAnsi" w:cs="Arial"/>
          <w:color w:val="000000"/>
          <w:sz w:val="21"/>
          <w:szCs w:val="21"/>
        </w:rPr>
        <w:t xml:space="preserve">: introduced </w:t>
      </w:r>
      <w:r w:rsidR="00C279AD" w:rsidRPr="00F929C8">
        <w:rPr>
          <w:rFonts w:asciiTheme="minorHAnsi" w:eastAsia="Calibri" w:hAnsiTheme="minorHAnsi" w:cs="Arial"/>
          <w:color w:val="000000"/>
          <w:sz w:val="21"/>
          <w:szCs w:val="21"/>
        </w:rPr>
        <w:t>in</w:t>
      </w:r>
      <w:r w:rsidR="00CA7525" w:rsidRPr="00F929C8">
        <w:rPr>
          <w:rFonts w:asciiTheme="minorHAnsi" w:eastAsia="Calibri" w:hAnsiTheme="minorHAnsi" w:cs="Arial"/>
          <w:color w:val="000000"/>
          <w:sz w:val="21"/>
          <w:szCs w:val="21"/>
        </w:rPr>
        <w:t xml:space="preserve"> 2024 </w:t>
      </w:r>
      <w:r w:rsidR="0018578E" w:rsidRPr="00F929C8">
        <w:rPr>
          <w:rFonts w:asciiTheme="minorHAnsi" w:eastAsia="Calibri" w:hAnsiTheme="minorHAnsi" w:cs="Arial"/>
          <w:color w:val="000000"/>
          <w:sz w:val="21"/>
          <w:szCs w:val="21"/>
        </w:rPr>
        <w:t>to allow</w:t>
      </w:r>
      <w:r w:rsidR="00CA7525" w:rsidRPr="00F929C8">
        <w:rPr>
          <w:rFonts w:asciiTheme="minorHAnsi" w:eastAsia="Calibri" w:hAnsiTheme="minorHAnsi" w:cs="Arial"/>
          <w:color w:val="000000"/>
          <w:sz w:val="21"/>
          <w:szCs w:val="21"/>
        </w:rPr>
        <w:t xml:space="preserve"> Executive Directors and other employees</w:t>
      </w:r>
      <w:r w:rsidR="0018578E" w:rsidRPr="00F929C8">
        <w:rPr>
          <w:rFonts w:asciiTheme="minorHAnsi" w:eastAsia="Calibri" w:hAnsiTheme="minorHAnsi" w:cs="Arial"/>
          <w:color w:val="000000"/>
          <w:sz w:val="21"/>
          <w:szCs w:val="21"/>
        </w:rPr>
        <w:t xml:space="preserve"> to</w:t>
      </w:r>
      <w:r w:rsidR="00CA7525" w:rsidRPr="00F929C8">
        <w:rPr>
          <w:rFonts w:asciiTheme="minorHAnsi" w:eastAsia="Calibri" w:hAnsiTheme="minorHAnsi" w:cs="Arial"/>
          <w:color w:val="000000"/>
          <w:sz w:val="21"/>
          <w:szCs w:val="21"/>
        </w:rPr>
        <w:t xml:space="preserve"> directly invest in Pepco shares</w:t>
      </w:r>
      <w:r w:rsidR="0018578E" w:rsidRPr="00F929C8">
        <w:rPr>
          <w:rFonts w:asciiTheme="minorHAnsi" w:eastAsia="Calibri" w:hAnsiTheme="minorHAnsi" w:cs="Arial"/>
          <w:color w:val="000000"/>
          <w:sz w:val="21"/>
          <w:szCs w:val="21"/>
        </w:rPr>
        <w:t xml:space="preserve"> and receive a certain number of matching shares</w:t>
      </w:r>
      <w:r w:rsidR="00CA7525" w:rsidRPr="00F929C8">
        <w:rPr>
          <w:rFonts w:asciiTheme="minorHAnsi" w:eastAsia="Calibri" w:hAnsiTheme="minorHAnsi" w:cs="Arial"/>
          <w:color w:val="000000"/>
          <w:sz w:val="21"/>
          <w:szCs w:val="21"/>
        </w:rPr>
        <w:t>.</w:t>
      </w:r>
      <w:r w:rsidR="00C97674" w:rsidRPr="00F929C8">
        <w:rPr>
          <w:rFonts w:asciiTheme="minorHAnsi" w:eastAsia="Calibri" w:hAnsiTheme="minorHAnsi" w:cs="Arial"/>
          <w:color w:val="000000"/>
          <w:sz w:val="21"/>
          <w:szCs w:val="21"/>
        </w:rPr>
        <w:t xml:space="preserve"> </w:t>
      </w:r>
      <w:r w:rsidR="004C200A" w:rsidRPr="00F929C8">
        <w:rPr>
          <w:rFonts w:asciiTheme="minorHAnsi" w:eastAsia="Calibri" w:hAnsiTheme="minorHAnsi" w:cs="Arial"/>
          <w:color w:val="000000"/>
          <w:sz w:val="21"/>
          <w:szCs w:val="21"/>
        </w:rPr>
        <w:t>A participant can generally only receive their matching shares after 5 years</w:t>
      </w:r>
      <w:r w:rsidR="00C97674" w:rsidRPr="00F929C8">
        <w:rPr>
          <w:rFonts w:asciiTheme="minorHAnsi" w:eastAsia="Calibri" w:hAnsiTheme="minorHAnsi" w:cs="Arial"/>
          <w:color w:val="000000"/>
          <w:sz w:val="21"/>
          <w:szCs w:val="21"/>
        </w:rPr>
        <w:t xml:space="preserve">. </w:t>
      </w:r>
    </w:p>
    <w:p w14:paraId="5AFD365D" w14:textId="7BCE286F" w:rsidR="00691FCF" w:rsidRPr="00F929C8" w:rsidRDefault="00C97674"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iCs/>
          <w:color w:val="000000"/>
          <w:sz w:val="21"/>
          <w:szCs w:val="21"/>
        </w:rPr>
        <w:t>VCP</w:t>
      </w:r>
    </w:p>
    <w:p w14:paraId="3F1B71D1" w14:textId="451E95A3" w:rsidR="00691FCF" w:rsidRPr="00F929C8" w:rsidRDefault="00A42B9C"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VCP was largely replaced with the </w:t>
      </w:r>
      <w:r w:rsidR="00CA7525" w:rsidRPr="00F929C8">
        <w:rPr>
          <w:rFonts w:asciiTheme="minorHAnsi" w:eastAsia="Calibri" w:hAnsiTheme="minorHAnsi" w:cs="Arial"/>
          <w:color w:val="000000"/>
          <w:sz w:val="21"/>
          <w:szCs w:val="21"/>
        </w:rPr>
        <w:t>PSP</w:t>
      </w:r>
      <w:r w:rsidRPr="00F929C8">
        <w:rPr>
          <w:rFonts w:asciiTheme="minorHAnsi" w:eastAsia="Calibri" w:hAnsiTheme="minorHAnsi" w:cs="Arial"/>
          <w:color w:val="000000"/>
          <w:sz w:val="21"/>
          <w:szCs w:val="21"/>
        </w:rPr>
        <w:t xml:space="preserve"> in December 2023, leaving one remaining participant. </w:t>
      </w:r>
      <w:r w:rsidR="0099061E" w:rsidRPr="00F929C8">
        <w:rPr>
          <w:rFonts w:asciiTheme="minorHAnsi" w:eastAsia="Calibri" w:hAnsiTheme="minorHAnsi" w:cs="Arial"/>
          <w:color w:val="000000"/>
          <w:sz w:val="21"/>
          <w:szCs w:val="21"/>
        </w:rPr>
        <w:t>The Company does not anticipate making any further grants under the VCP.</w:t>
      </w:r>
    </w:p>
    <w:p w14:paraId="6EE7EF67" w14:textId="5679D4E1" w:rsidR="00691FCF" w:rsidRPr="00F929C8" w:rsidRDefault="00691FCF"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Participants share in a set percentage of </w:t>
      </w:r>
      <w:r w:rsidR="00C53215" w:rsidRPr="00F929C8">
        <w:rPr>
          <w:rFonts w:asciiTheme="minorHAnsi" w:eastAsia="Calibri" w:hAnsiTheme="minorHAnsi" w:cs="Arial"/>
          <w:color w:val="000000"/>
          <w:sz w:val="21"/>
          <w:szCs w:val="21"/>
        </w:rPr>
        <w:t xml:space="preserve">market capitalization </w:t>
      </w:r>
      <w:r w:rsidRPr="00F929C8">
        <w:rPr>
          <w:rFonts w:asciiTheme="minorHAnsi" w:eastAsia="Calibri" w:hAnsiTheme="minorHAnsi" w:cs="Arial"/>
          <w:color w:val="000000"/>
          <w:sz w:val="21"/>
          <w:szCs w:val="21"/>
        </w:rPr>
        <w:t>growth above a fixed hurdle of a 10% p</w:t>
      </w:r>
      <w:r w:rsidR="008E2E98" w:rsidRPr="00F929C8">
        <w:rPr>
          <w:rFonts w:asciiTheme="minorHAnsi" w:eastAsia="Calibri" w:hAnsiTheme="minorHAnsi" w:cs="Arial"/>
          <w:color w:val="000000"/>
          <w:sz w:val="21"/>
          <w:szCs w:val="21"/>
        </w:rPr>
        <w:t>er annum</w:t>
      </w:r>
      <w:r w:rsidRPr="00F929C8">
        <w:rPr>
          <w:rFonts w:asciiTheme="minorHAnsi" w:eastAsia="Calibri" w:hAnsiTheme="minorHAnsi" w:cs="Arial"/>
          <w:color w:val="000000"/>
          <w:sz w:val="21"/>
          <w:szCs w:val="21"/>
        </w:rPr>
        <w:t xml:space="preserve"> increase in </w:t>
      </w:r>
      <w:r w:rsidR="00C53215" w:rsidRPr="00F929C8">
        <w:rPr>
          <w:rFonts w:asciiTheme="minorHAnsi" w:eastAsia="Calibri" w:hAnsiTheme="minorHAnsi" w:cs="Arial"/>
          <w:color w:val="000000"/>
          <w:sz w:val="21"/>
          <w:szCs w:val="21"/>
        </w:rPr>
        <w:t xml:space="preserve">the </w:t>
      </w:r>
      <w:r w:rsidRPr="00F929C8">
        <w:rPr>
          <w:rFonts w:asciiTheme="minorHAnsi" w:eastAsia="Calibri" w:hAnsiTheme="minorHAnsi" w:cs="Arial"/>
          <w:color w:val="000000"/>
          <w:sz w:val="21"/>
          <w:szCs w:val="21"/>
        </w:rPr>
        <w:t>value of th</w:t>
      </w:r>
      <w:r w:rsidR="00C53215" w:rsidRPr="00F929C8">
        <w:rPr>
          <w:rFonts w:asciiTheme="minorHAnsi" w:eastAsia="Calibri" w:hAnsiTheme="minorHAnsi" w:cs="Arial"/>
          <w:color w:val="000000"/>
          <w:sz w:val="21"/>
          <w:szCs w:val="21"/>
        </w:rPr>
        <w:t>e market capitalization f</w:t>
      </w:r>
      <w:r w:rsidRPr="00F929C8">
        <w:rPr>
          <w:rFonts w:asciiTheme="minorHAnsi" w:eastAsia="Calibri" w:hAnsiTheme="minorHAnsi" w:cs="Arial"/>
          <w:color w:val="000000"/>
          <w:sz w:val="21"/>
          <w:szCs w:val="21"/>
        </w:rPr>
        <w:t xml:space="preserve">rom 1 October 2022. Each participant has been allocated their own share of the upside above the hurdle out of the total pool of 6.5%. </w:t>
      </w:r>
      <w:r w:rsidR="00F64A79" w:rsidRPr="00F929C8">
        <w:rPr>
          <w:rFonts w:asciiTheme="minorHAnsi" w:eastAsia="Calibri" w:hAnsiTheme="minorHAnsi" w:cs="Arial"/>
          <w:color w:val="000000"/>
          <w:sz w:val="21"/>
          <w:szCs w:val="21"/>
        </w:rPr>
        <w:t>Andy Bond</w:t>
      </w:r>
      <w:r w:rsidR="00C97674" w:rsidRPr="00F929C8">
        <w:rPr>
          <w:rFonts w:asciiTheme="minorHAnsi" w:eastAsia="Calibri" w:hAnsiTheme="minorHAnsi" w:cs="Arial"/>
          <w:color w:val="000000"/>
          <w:sz w:val="21"/>
          <w:szCs w:val="21"/>
        </w:rPr>
        <w:t xml:space="preserve">, the sole remaining </w:t>
      </w:r>
      <w:proofErr w:type="gramStart"/>
      <w:r w:rsidR="00C97674" w:rsidRPr="00F929C8">
        <w:rPr>
          <w:rFonts w:asciiTheme="minorHAnsi" w:eastAsia="Calibri" w:hAnsiTheme="minorHAnsi" w:cs="Arial"/>
          <w:color w:val="000000"/>
          <w:sz w:val="21"/>
          <w:szCs w:val="21"/>
        </w:rPr>
        <w:t xml:space="preserve">participant, </w:t>
      </w:r>
      <w:r w:rsidR="00F6402E" w:rsidRPr="00F929C8">
        <w:rPr>
          <w:rFonts w:asciiTheme="minorHAnsi" w:eastAsia="Calibri" w:hAnsiTheme="minorHAnsi" w:cs="Arial"/>
          <w:color w:val="000000"/>
          <w:sz w:val="21"/>
          <w:szCs w:val="21"/>
        </w:rPr>
        <w:t>(</w:t>
      </w:r>
      <w:proofErr w:type="gramEnd"/>
      <w:r w:rsidR="00F6402E" w:rsidRPr="00F929C8">
        <w:rPr>
          <w:rFonts w:asciiTheme="minorHAnsi" w:eastAsia="Calibri" w:hAnsiTheme="minorHAnsi" w:cs="Arial"/>
          <w:color w:val="000000"/>
          <w:sz w:val="21"/>
          <w:szCs w:val="21"/>
        </w:rPr>
        <w:t>in his capacity as</w:t>
      </w:r>
      <w:r w:rsidRPr="00F929C8">
        <w:rPr>
          <w:rFonts w:asciiTheme="minorHAnsi" w:eastAsia="Calibri" w:hAnsiTheme="minorHAnsi" w:cs="Arial"/>
          <w:color w:val="000000"/>
          <w:sz w:val="21"/>
          <w:szCs w:val="21"/>
        </w:rPr>
        <w:t xml:space="preserve"> the Chair of the Board</w:t>
      </w:r>
      <w:r w:rsidR="00F6402E" w:rsidRPr="00F929C8">
        <w:rPr>
          <w:rFonts w:asciiTheme="minorHAnsi" w:eastAsia="Calibri" w:hAnsiTheme="minorHAnsi" w:cs="Arial"/>
          <w:color w:val="000000"/>
          <w:sz w:val="21"/>
          <w:szCs w:val="21"/>
        </w:rPr>
        <w:t>)</w:t>
      </w:r>
      <w:r w:rsidRPr="00F929C8">
        <w:rPr>
          <w:rFonts w:asciiTheme="minorHAnsi" w:eastAsia="Calibri" w:hAnsiTheme="minorHAnsi" w:cs="Arial"/>
          <w:color w:val="000000"/>
          <w:sz w:val="21"/>
          <w:szCs w:val="21"/>
        </w:rPr>
        <w:t xml:space="preserve"> </w:t>
      </w:r>
      <w:r w:rsidR="00F6402E" w:rsidRPr="00F929C8">
        <w:rPr>
          <w:rFonts w:asciiTheme="minorHAnsi" w:eastAsia="Calibri" w:hAnsiTheme="minorHAnsi" w:cs="Arial"/>
          <w:color w:val="000000"/>
          <w:sz w:val="21"/>
          <w:szCs w:val="21"/>
        </w:rPr>
        <w:t>has</w:t>
      </w:r>
      <w:r w:rsidRPr="00F929C8">
        <w:rPr>
          <w:rFonts w:asciiTheme="minorHAnsi" w:eastAsia="Calibri" w:hAnsiTheme="minorHAnsi" w:cs="Arial"/>
          <w:color w:val="000000"/>
          <w:sz w:val="21"/>
          <w:szCs w:val="21"/>
        </w:rPr>
        <w:t xml:space="preserve"> receive</w:t>
      </w:r>
      <w:r w:rsidR="00F6402E" w:rsidRPr="00F929C8">
        <w:rPr>
          <w:rFonts w:asciiTheme="minorHAnsi" w:eastAsia="Calibri" w:hAnsiTheme="minorHAnsi" w:cs="Arial"/>
          <w:color w:val="000000"/>
          <w:sz w:val="21"/>
          <w:szCs w:val="21"/>
        </w:rPr>
        <w:t>d</w:t>
      </w:r>
      <w:r w:rsidRPr="00F929C8">
        <w:rPr>
          <w:rFonts w:asciiTheme="minorHAnsi" w:eastAsia="Calibri" w:hAnsiTheme="minorHAnsi" w:cs="Arial"/>
          <w:color w:val="000000"/>
          <w:sz w:val="21"/>
          <w:szCs w:val="21"/>
        </w:rPr>
        <w:t xml:space="preserve"> an allocation of 1.0%. When the VCP value is calculated participants receive their share in the value of the whole Company.</w:t>
      </w:r>
    </w:p>
    <w:p w14:paraId="52D83C07" w14:textId="5B5910E1" w:rsidR="00691FCF" w:rsidRPr="00F929C8" w:rsidRDefault="00691FCF"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value created above the hurdle is measured annually and “banked” as nil-cost option grants for the </w:t>
      </w:r>
      <w:r w:rsidR="00D564E2" w:rsidRPr="00F929C8">
        <w:rPr>
          <w:rFonts w:asciiTheme="minorHAnsi" w:eastAsia="Calibri" w:hAnsiTheme="minorHAnsi" w:cs="Arial"/>
          <w:color w:val="000000"/>
          <w:sz w:val="21"/>
          <w:szCs w:val="21"/>
        </w:rPr>
        <w:t>seven</w:t>
      </w:r>
      <w:r w:rsidRPr="00F929C8">
        <w:rPr>
          <w:rFonts w:asciiTheme="minorHAnsi" w:eastAsia="Calibri" w:hAnsiTheme="minorHAnsi" w:cs="Arial"/>
          <w:color w:val="000000"/>
          <w:sz w:val="21"/>
          <w:szCs w:val="21"/>
        </w:rPr>
        <w:t>-year period. However, payouts can occur over a period of up to nine years where there has been exceptional performance.</w:t>
      </w:r>
    </w:p>
    <w:p w14:paraId="7FB7A11D" w14:textId="41547ED0" w:rsidR="008E42C2" w:rsidRPr="00F929C8" w:rsidRDefault="00821230" w:rsidP="00700E22">
      <w:pPr>
        <w:tabs>
          <w:tab w:val="left" w:pos="288"/>
          <w:tab w:val="left" w:pos="36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An </w:t>
      </w:r>
      <w:r w:rsidR="008F535F" w:rsidRPr="00F929C8">
        <w:rPr>
          <w:rFonts w:asciiTheme="minorHAnsi" w:eastAsia="Calibri" w:hAnsiTheme="minorHAnsi" w:cs="Arial"/>
          <w:color w:val="000000"/>
          <w:sz w:val="21"/>
          <w:szCs w:val="21"/>
        </w:rPr>
        <w:t xml:space="preserve">overall earnings cap of €52m per annum </w:t>
      </w:r>
      <w:r w:rsidR="0018578E" w:rsidRPr="00F929C8">
        <w:rPr>
          <w:rFonts w:asciiTheme="minorHAnsi" w:eastAsia="Calibri" w:hAnsiTheme="minorHAnsi" w:cs="Arial"/>
          <w:color w:val="000000"/>
          <w:sz w:val="21"/>
          <w:szCs w:val="21"/>
        </w:rPr>
        <w:t>applies</w:t>
      </w:r>
      <w:r w:rsidR="008F535F" w:rsidRPr="00F929C8">
        <w:rPr>
          <w:rFonts w:asciiTheme="minorHAnsi" w:eastAsia="Calibri" w:hAnsiTheme="minorHAnsi" w:cs="Arial"/>
          <w:color w:val="000000"/>
          <w:sz w:val="21"/>
          <w:szCs w:val="21"/>
        </w:rPr>
        <w:t xml:space="preserve">, irrespective of the additional value generated. If this cap is </w:t>
      </w:r>
      <w:proofErr w:type="gramStart"/>
      <w:r w:rsidR="008F535F" w:rsidRPr="00F929C8">
        <w:rPr>
          <w:rFonts w:asciiTheme="minorHAnsi" w:eastAsia="Calibri" w:hAnsiTheme="minorHAnsi" w:cs="Arial"/>
          <w:color w:val="000000"/>
          <w:sz w:val="21"/>
          <w:szCs w:val="21"/>
        </w:rPr>
        <w:t>met</w:t>
      </w:r>
      <w:proofErr w:type="gramEnd"/>
      <w:r w:rsidR="008F535F" w:rsidRPr="00F929C8">
        <w:rPr>
          <w:rFonts w:asciiTheme="minorHAnsi" w:eastAsia="Calibri" w:hAnsiTheme="minorHAnsi" w:cs="Arial"/>
          <w:color w:val="000000"/>
          <w:sz w:val="21"/>
          <w:szCs w:val="21"/>
        </w:rPr>
        <w:t>, the value will be pro-rated using the 6.5% plan total, irrespectively of whether the full 6.5% has been allocated or not. Any value created above the cap will be capable of being earned in future years as the “high water mark” of valuation will equal the value at which the cap is applied. In addition,</w:t>
      </w:r>
      <w:r w:rsidR="008E42C2" w:rsidRPr="00F929C8">
        <w:rPr>
          <w:rFonts w:asciiTheme="minorHAnsi" w:eastAsia="Calibri" w:hAnsiTheme="minorHAnsi" w:cs="Arial"/>
          <w:color w:val="000000"/>
          <w:sz w:val="21"/>
          <w:szCs w:val="21"/>
        </w:rPr>
        <w:t xml:space="preserve"> if any nil-cost options are granted in years 4, 5 and 6 then there will be a </w:t>
      </w:r>
      <w:r w:rsidR="001F7AF9" w:rsidRPr="00F929C8">
        <w:rPr>
          <w:rFonts w:asciiTheme="minorHAnsi" w:eastAsia="Calibri" w:hAnsiTheme="minorHAnsi" w:cs="Arial"/>
          <w:color w:val="000000"/>
          <w:sz w:val="21"/>
          <w:szCs w:val="21"/>
        </w:rPr>
        <w:t>one-year</w:t>
      </w:r>
      <w:r w:rsidR="008E42C2" w:rsidRPr="00F929C8">
        <w:rPr>
          <w:rFonts w:asciiTheme="minorHAnsi" w:eastAsia="Calibri" w:hAnsiTheme="minorHAnsi" w:cs="Arial"/>
          <w:color w:val="000000"/>
          <w:sz w:val="21"/>
          <w:szCs w:val="21"/>
        </w:rPr>
        <w:t xml:space="preserve"> delay before the hurdle test described above will apply to these nil-cost options. The final hurdle test will then apply for year 7 (financial year ended 30 September 2026).</w:t>
      </w:r>
    </w:p>
    <w:p w14:paraId="42ACE519" w14:textId="77777777" w:rsidR="008E42C2" w:rsidRPr="00F929C8" w:rsidRDefault="008E42C2" w:rsidP="00700E22">
      <w:pPr>
        <w:tabs>
          <w:tab w:val="left" w:pos="288"/>
          <w:tab w:val="left" w:pos="360"/>
        </w:tabs>
        <w:spacing w:after="120" w:line="360" w:lineRule="auto"/>
        <w:jc w:val="both"/>
        <w:textAlignment w:val="baseline"/>
        <w:rPr>
          <w:rFonts w:asciiTheme="minorHAnsi" w:hAnsiTheme="minorHAnsi"/>
          <w:i/>
          <w:color w:val="000000"/>
          <w:sz w:val="21"/>
          <w:szCs w:val="21"/>
        </w:rPr>
      </w:pPr>
      <w:r w:rsidRPr="00F929C8">
        <w:rPr>
          <w:rFonts w:asciiTheme="minorHAnsi" w:hAnsiTheme="minorHAnsi"/>
          <w:i/>
          <w:color w:val="000000"/>
          <w:sz w:val="21"/>
          <w:szCs w:val="21"/>
        </w:rPr>
        <w:t xml:space="preserve">Malus and </w:t>
      </w:r>
      <w:proofErr w:type="spellStart"/>
      <w:r w:rsidRPr="00F929C8">
        <w:rPr>
          <w:rFonts w:asciiTheme="minorHAnsi" w:hAnsiTheme="minorHAnsi"/>
          <w:i/>
          <w:color w:val="000000"/>
          <w:sz w:val="21"/>
          <w:szCs w:val="21"/>
        </w:rPr>
        <w:t>clawback</w:t>
      </w:r>
      <w:proofErr w:type="spellEnd"/>
    </w:p>
    <w:p w14:paraId="523592B7" w14:textId="7DDDCAD1" w:rsidR="00270883" w:rsidRPr="00F929C8" w:rsidRDefault="008E42C2" w:rsidP="00700E22">
      <w:pPr>
        <w:tabs>
          <w:tab w:val="left" w:pos="288"/>
          <w:tab w:val="left" w:pos="360"/>
        </w:tabs>
        <w:spacing w:after="120" w:line="360" w:lineRule="auto"/>
        <w:jc w:val="both"/>
        <w:textAlignment w:val="baseline"/>
        <w:rPr>
          <w:rFonts w:asciiTheme="minorHAnsi" w:eastAsia="Calibri" w:hAnsiTheme="minorHAnsi" w:cs="Arial"/>
          <w:color w:val="000000"/>
          <w:sz w:val="21"/>
          <w:szCs w:val="21"/>
        </w:rPr>
      </w:pPr>
      <w:proofErr w:type="gramStart"/>
      <w:r w:rsidRPr="00F929C8">
        <w:rPr>
          <w:rFonts w:asciiTheme="minorHAnsi" w:eastAsia="Calibri" w:hAnsiTheme="minorHAnsi" w:cs="Arial"/>
          <w:color w:val="000000"/>
          <w:sz w:val="21"/>
          <w:szCs w:val="21"/>
        </w:rPr>
        <w:t>Malus</w:t>
      </w:r>
      <w:proofErr w:type="gramEnd"/>
      <w:r w:rsidRPr="00F929C8">
        <w:rPr>
          <w:rFonts w:asciiTheme="minorHAnsi" w:eastAsia="Calibri" w:hAnsiTheme="minorHAnsi" w:cs="Arial"/>
          <w:color w:val="000000"/>
          <w:sz w:val="21"/>
          <w:szCs w:val="21"/>
        </w:rPr>
        <w:t xml:space="preserve"> and </w:t>
      </w:r>
      <w:proofErr w:type="spellStart"/>
      <w:r w:rsidRPr="00F929C8">
        <w:rPr>
          <w:rFonts w:asciiTheme="minorHAnsi" w:eastAsia="Calibri" w:hAnsiTheme="minorHAnsi" w:cs="Arial"/>
          <w:color w:val="000000"/>
          <w:sz w:val="21"/>
          <w:szCs w:val="21"/>
        </w:rPr>
        <w:t>clawback</w:t>
      </w:r>
      <w:proofErr w:type="spellEnd"/>
      <w:r w:rsidRPr="00F929C8">
        <w:rPr>
          <w:rFonts w:asciiTheme="minorHAnsi" w:eastAsia="Calibri" w:hAnsiTheme="minorHAnsi" w:cs="Arial"/>
          <w:color w:val="000000"/>
          <w:sz w:val="21"/>
          <w:szCs w:val="21"/>
        </w:rPr>
        <w:t xml:space="preserve"> provisions apply to the awards.</w:t>
      </w:r>
    </w:p>
    <w:p w14:paraId="2860E9BF" w14:textId="77777777" w:rsidR="00C43C4F" w:rsidRPr="00F929C8" w:rsidRDefault="00C43C4F"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 xml:space="preserve">Annual </w:t>
      </w:r>
      <w:proofErr w:type="gramStart"/>
      <w:r w:rsidRPr="00F929C8">
        <w:rPr>
          <w:rFonts w:asciiTheme="minorHAnsi" w:eastAsia="Calibri" w:hAnsiTheme="minorHAnsi" w:cs="Arial"/>
          <w:i/>
          <w:color w:val="000000"/>
          <w:sz w:val="21"/>
          <w:szCs w:val="21"/>
        </w:rPr>
        <w:t>cap</w:t>
      </w:r>
      <w:proofErr w:type="gramEnd"/>
    </w:p>
    <w:p w14:paraId="28F4165C" w14:textId="38ECA493" w:rsidR="00C43C4F" w:rsidRPr="00F929C8" w:rsidRDefault="00C43C4F"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Vesting is also subject to an annual cap of €14m for Andy Bond (chair), and a maximum cap of €10m for any Executive Director. Any nil cost options that have met the hurdle tests but not have not vested by the end of the 9</w:t>
      </w:r>
      <w:r w:rsidRPr="00F929C8">
        <w:rPr>
          <w:rFonts w:asciiTheme="minorHAnsi" w:eastAsia="Calibri" w:hAnsiTheme="minorHAnsi" w:cs="Arial"/>
          <w:color w:val="000000"/>
          <w:sz w:val="21"/>
          <w:szCs w:val="21"/>
          <w:vertAlign w:val="superscript"/>
        </w:rPr>
        <w:t>th</w:t>
      </w:r>
      <w:r w:rsidRPr="00F929C8">
        <w:rPr>
          <w:rFonts w:asciiTheme="minorHAnsi" w:eastAsia="Calibri" w:hAnsiTheme="minorHAnsi" w:cs="Arial"/>
          <w:color w:val="000000"/>
          <w:sz w:val="21"/>
          <w:szCs w:val="21"/>
        </w:rPr>
        <w:t xml:space="preserve"> year (i.e. 30 September 2028) due to the application of an annual cap will vest irrespective of the application of the cap.</w:t>
      </w:r>
    </w:p>
    <w:p w14:paraId="67DC1974" w14:textId="77C7779F" w:rsidR="00F137F7" w:rsidRPr="00F929C8" w:rsidRDefault="00F137F7" w:rsidP="00700E22">
      <w:pPr>
        <w:spacing w:after="120" w:line="360" w:lineRule="auto"/>
        <w:jc w:val="both"/>
        <w:textAlignment w:val="baseline"/>
        <w:rPr>
          <w:rFonts w:asciiTheme="minorHAnsi" w:eastAsia="Calibri" w:hAnsiTheme="minorHAnsi" w:cs="Arial"/>
          <w:i/>
          <w:iCs/>
          <w:color w:val="000000"/>
          <w:spacing w:val="-2"/>
          <w:sz w:val="21"/>
          <w:szCs w:val="21"/>
        </w:rPr>
      </w:pPr>
      <w:r w:rsidRPr="00F929C8">
        <w:rPr>
          <w:rFonts w:asciiTheme="minorHAnsi" w:eastAsia="Calibri" w:hAnsiTheme="minorHAnsi" w:cs="Arial"/>
          <w:i/>
          <w:iCs/>
          <w:color w:val="000000"/>
          <w:spacing w:val="-2"/>
          <w:sz w:val="21"/>
          <w:szCs w:val="21"/>
        </w:rPr>
        <w:t>February 2021</w:t>
      </w:r>
    </w:p>
    <w:p w14:paraId="667DC8A0" w14:textId="47461D3A" w:rsidR="00FE5076" w:rsidRPr="00F929C8" w:rsidRDefault="00FE5076"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pacing w:val="-2"/>
          <w:sz w:val="21"/>
          <w:szCs w:val="21"/>
        </w:rPr>
        <w:lastRenderedPageBreak/>
        <w:t xml:space="preserve">Exceptionally, </w:t>
      </w:r>
      <w:r w:rsidRPr="00F929C8">
        <w:rPr>
          <w:rFonts w:asciiTheme="minorHAnsi" w:eastAsia="Calibri" w:hAnsiTheme="minorHAnsi" w:cs="Arial"/>
          <w:color w:val="000000"/>
          <w:sz w:val="21"/>
          <w:szCs w:val="21"/>
        </w:rPr>
        <w:t>the nil cost options granted under</w:t>
      </w:r>
      <w:r w:rsidRPr="00F929C8">
        <w:rPr>
          <w:rFonts w:asciiTheme="minorHAnsi" w:hAnsiTheme="minorHAnsi"/>
          <w:color w:val="000000"/>
          <w:sz w:val="21"/>
          <w:szCs w:val="21"/>
        </w:rPr>
        <w:t xml:space="preserve"> the </w:t>
      </w:r>
      <w:r w:rsidRPr="00F929C8">
        <w:rPr>
          <w:rFonts w:asciiTheme="minorHAnsi" w:eastAsia="Calibri" w:hAnsiTheme="minorHAnsi" w:cs="Arial"/>
          <w:color w:val="000000"/>
          <w:sz w:val="21"/>
          <w:szCs w:val="21"/>
        </w:rPr>
        <w:t>VCP</w:t>
      </w:r>
      <w:r w:rsidRPr="00F929C8">
        <w:rPr>
          <w:rFonts w:asciiTheme="minorHAnsi" w:hAnsiTheme="minorHAnsi"/>
          <w:color w:val="000000"/>
          <w:sz w:val="21"/>
          <w:szCs w:val="21"/>
        </w:rPr>
        <w:t xml:space="preserve"> in </w:t>
      </w:r>
      <w:r w:rsidRPr="00F929C8">
        <w:rPr>
          <w:rFonts w:asciiTheme="minorHAnsi" w:eastAsia="Calibri" w:hAnsiTheme="minorHAnsi" w:cs="Arial"/>
          <w:color w:val="000000"/>
          <w:sz w:val="21"/>
          <w:szCs w:val="21"/>
        </w:rPr>
        <w:t>February 2021</w:t>
      </w:r>
      <w:r w:rsidRPr="00F929C8">
        <w:rPr>
          <w:rFonts w:asciiTheme="minorHAnsi" w:hAnsiTheme="minorHAnsi"/>
          <w:color w:val="000000"/>
          <w:sz w:val="21"/>
          <w:szCs w:val="21"/>
        </w:rPr>
        <w:t xml:space="preserve"> will have </w:t>
      </w:r>
      <w:r w:rsidRPr="00F929C8">
        <w:rPr>
          <w:rFonts w:asciiTheme="minorHAnsi" w:eastAsia="Calibri" w:hAnsiTheme="minorHAnsi" w:cs="Arial"/>
          <w:color w:val="000000"/>
          <w:sz w:val="21"/>
          <w:szCs w:val="21"/>
        </w:rPr>
        <w:t>a final vesting opportunity in January 2025 subject to satisfaction</w:t>
      </w:r>
      <w:r w:rsidRPr="00F929C8">
        <w:rPr>
          <w:rFonts w:asciiTheme="minorHAnsi" w:hAnsiTheme="minorHAnsi"/>
          <w:color w:val="000000"/>
          <w:sz w:val="21"/>
          <w:szCs w:val="21"/>
        </w:rPr>
        <w:t xml:space="preserve"> of the </w:t>
      </w:r>
      <w:r w:rsidRPr="00F929C8">
        <w:rPr>
          <w:rFonts w:asciiTheme="minorHAnsi" w:eastAsia="Calibri" w:hAnsiTheme="minorHAnsi" w:cs="Arial"/>
          <w:color w:val="000000"/>
          <w:sz w:val="21"/>
          <w:szCs w:val="21"/>
        </w:rPr>
        <w:t>vesting measures set for the fiscal year 2023-24.</w:t>
      </w:r>
    </w:p>
    <w:p w14:paraId="3B51316F" w14:textId="6191D5F7" w:rsidR="00FE5076" w:rsidRPr="00F929C8" w:rsidRDefault="00CF5420"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i/>
          <w:iCs/>
          <w:color w:val="000000"/>
          <w:sz w:val="21"/>
          <w:szCs w:val="21"/>
        </w:rPr>
        <w:t>PSP</w:t>
      </w:r>
    </w:p>
    <w:p w14:paraId="4ED58EFE" w14:textId="5991543B" w:rsidR="00006DBC" w:rsidRPr="00F929C8" w:rsidRDefault="007D4749" w:rsidP="00813D80">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color w:val="000000"/>
          <w:sz w:val="21"/>
          <w:szCs w:val="21"/>
        </w:rPr>
        <w:t xml:space="preserve">Under the PSP, individuals are granted </w:t>
      </w:r>
      <w:r w:rsidR="00B50329" w:rsidRPr="00F929C8">
        <w:rPr>
          <w:rFonts w:asciiTheme="minorHAnsi" w:eastAsia="Calibri" w:hAnsiTheme="minorHAnsi" w:cs="Arial"/>
          <w:color w:val="000000"/>
          <w:sz w:val="21"/>
          <w:szCs w:val="21"/>
        </w:rPr>
        <w:t xml:space="preserve">awards either as </w:t>
      </w:r>
      <w:r w:rsidRPr="00F929C8">
        <w:rPr>
          <w:rFonts w:asciiTheme="minorHAnsi" w:eastAsia="Calibri" w:hAnsiTheme="minorHAnsi" w:cs="Arial"/>
          <w:color w:val="000000"/>
          <w:sz w:val="21"/>
          <w:szCs w:val="21"/>
        </w:rPr>
        <w:t>performance share awards or restricted stock units (RSUs)</w:t>
      </w:r>
      <w:r w:rsidR="00B410FF" w:rsidRPr="00F929C8">
        <w:rPr>
          <w:rFonts w:asciiTheme="minorHAnsi" w:eastAsia="Calibri" w:hAnsiTheme="minorHAnsi" w:cs="Arial"/>
          <w:color w:val="000000"/>
          <w:sz w:val="21"/>
          <w:szCs w:val="21"/>
        </w:rPr>
        <w:t xml:space="preserve">. The maximum market value of shares that may be awarded to any one participant </w:t>
      </w:r>
      <w:r w:rsidR="00006DBC" w:rsidRPr="00F929C8">
        <w:rPr>
          <w:rFonts w:asciiTheme="minorHAnsi" w:eastAsia="Calibri" w:hAnsiTheme="minorHAnsi" w:cs="Arial"/>
          <w:color w:val="000000"/>
          <w:sz w:val="21"/>
          <w:szCs w:val="21"/>
        </w:rPr>
        <w:t xml:space="preserve">in </w:t>
      </w:r>
      <w:r w:rsidR="00B410FF" w:rsidRPr="00F929C8">
        <w:rPr>
          <w:rFonts w:asciiTheme="minorHAnsi" w:eastAsia="Calibri" w:hAnsiTheme="minorHAnsi" w:cs="Arial"/>
          <w:color w:val="000000"/>
          <w:sz w:val="21"/>
          <w:szCs w:val="21"/>
        </w:rPr>
        <w:t xml:space="preserve">each year is 300% of </w:t>
      </w:r>
      <w:proofErr w:type="gramStart"/>
      <w:r w:rsidR="00EA542D" w:rsidRPr="00F929C8">
        <w:rPr>
          <w:rFonts w:asciiTheme="minorHAnsi" w:eastAsia="Calibri" w:hAnsiTheme="minorHAnsi" w:cs="Arial"/>
          <w:color w:val="000000"/>
          <w:sz w:val="21"/>
          <w:szCs w:val="21"/>
        </w:rPr>
        <w:t>base</w:t>
      </w:r>
      <w:proofErr w:type="gramEnd"/>
      <w:r w:rsidR="00EA542D" w:rsidRPr="00F929C8">
        <w:rPr>
          <w:rFonts w:asciiTheme="minorHAnsi" w:eastAsia="Calibri" w:hAnsiTheme="minorHAnsi" w:cs="Arial"/>
          <w:color w:val="000000"/>
          <w:sz w:val="21"/>
          <w:szCs w:val="21"/>
        </w:rPr>
        <w:t xml:space="preserve"> </w:t>
      </w:r>
      <w:r w:rsidR="00B410FF" w:rsidRPr="00F929C8">
        <w:rPr>
          <w:rFonts w:asciiTheme="minorHAnsi" w:eastAsia="Calibri" w:hAnsiTheme="minorHAnsi" w:cs="Arial"/>
          <w:color w:val="000000"/>
          <w:sz w:val="21"/>
          <w:szCs w:val="21"/>
        </w:rPr>
        <w:t xml:space="preserve">salary. Performance share awards will have performance conditions that are </w:t>
      </w:r>
      <w:r w:rsidR="00B50329" w:rsidRPr="00F929C8">
        <w:rPr>
          <w:rFonts w:asciiTheme="minorHAnsi" w:eastAsia="Calibri" w:hAnsiTheme="minorHAnsi" w:cs="Arial"/>
          <w:color w:val="000000"/>
          <w:sz w:val="21"/>
          <w:szCs w:val="21"/>
        </w:rPr>
        <w:t xml:space="preserve">normally </w:t>
      </w:r>
      <w:r w:rsidR="00B410FF" w:rsidRPr="00F929C8">
        <w:rPr>
          <w:rFonts w:asciiTheme="minorHAnsi" w:eastAsia="Calibri" w:hAnsiTheme="minorHAnsi" w:cs="Arial"/>
          <w:color w:val="000000"/>
          <w:sz w:val="21"/>
          <w:szCs w:val="21"/>
        </w:rPr>
        <w:t>assessed over three years.</w:t>
      </w:r>
      <w:r w:rsidR="00B50329" w:rsidRPr="00F929C8">
        <w:rPr>
          <w:rFonts w:asciiTheme="minorHAnsi" w:eastAsia="Calibri" w:hAnsiTheme="minorHAnsi" w:cs="Arial"/>
          <w:color w:val="000000"/>
          <w:sz w:val="21"/>
          <w:szCs w:val="21"/>
        </w:rPr>
        <w:t xml:space="preserve"> Awards may be subject to a holding period and a holding period of two years will apply to </w:t>
      </w:r>
      <w:proofErr w:type="gramStart"/>
      <w:r w:rsidR="00B50329" w:rsidRPr="00F929C8">
        <w:rPr>
          <w:rFonts w:asciiTheme="minorHAnsi" w:eastAsia="Calibri" w:hAnsiTheme="minorHAnsi" w:cs="Arial"/>
          <w:color w:val="000000"/>
          <w:sz w:val="21"/>
          <w:szCs w:val="21"/>
        </w:rPr>
        <w:t>Executive</w:t>
      </w:r>
      <w:proofErr w:type="gramEnd"/>
      <w:r w:rsidR="00B50329" w:rsidRPr="00F929C8">
        <w:rPr>
          <w:rFonts w:asciiTheme="minorHAnsi" w:eastAsia="Calibri" w:hAnsiTheme="minorHAnsi" w:cs="Arial"/>
          <w:color w:val="000000"/>
          <w:sz w:val="21"/>
          <w:szCs w:val="21"/>
        </w:rPr>
        <w:t xml:space="preserve"> Directors. </w:t>
      </w:r>
      <w:proofErr w:type="gramStart"/>
      <w:r w:rsidR="00B50329" w:rsidRPr="00F929C8">
        <w:rPr>
          <w:rFonts w:asciiTheme="minorHAnsi" w:eastAsia="Calibri" w:hAnsiTheme="minorHAnsi" w:cs="Arial"/>
          <w:color w:val="000000"/>
          <w:sz w:val="21"/>
          <w:szCs w:val="21"/>
        </w:rPr>
        <w:t>Malus</w:t>
      </w:r>
      <w:proofErr w:type="gramEnd"/>
      <w:r w:rsidR="00B50329" w:rsidRPr="00F929C8">
        <w:rPr>
          <w:rFonts w:asciiTheme="minorHAnsi" w:eastAsia="Calibri" w:hAnsiTheme="minorHAnsi" w:cs="Arial"/>
          <w:color w:val="000000"/>
          <w:sz w:val="21"/>
          <w:szCs w:val="21"/>
        </w:rPr>
        <w:t xml:space="preserve"> and </w:t>
      </w:r>
      <w:proofErr w:type="spellStart"/>
      <w:r w:rsidR="00B50329" w:rsidRPr="00F929C8">
        <w:rPr>
          <w:rFonts w:asciiTheme="minorHAnsi" w:eastAsia="Calibri" w:hAnsiTheme="minorHAnsi" w:cs="Arial"/>
          <w:color w:val="000000"/>
          <w:sz w:val="21"/>
          <w:szCs w:val="21"/>
        </w:rPr>
        <w:t>clawback</w:t>
      </w:r>
      <w:proofErr w:type="spellEnd"/>
      <w:r w:rsidR="00B50329" w:rsidRPr="00F929C8">
        <w:rPr>
          <w:rFonts w:asciiTheme="minorHAnsi" w:eastAsia="Calibri" w:hAnsiTheme="minorHAnsi" w:cs="Arial"/>
          <w:color w:val="000000"/>
          <w:sz w:val="21"/>
          <w:szCs w:val="21"/>
        </w:rPr>
        <w:t xml:space="preserve"> provisions apply to the awards.</w:t>
      </w:r>
    </w:p>
    <w:p w14:paraId="04ACDC21" w14:textId="60286DD0" w:rsidR="0014767F" w:rsidRPr="00F929C8" w:rsidRDefault="0014767F" w:rsidP="00813D80">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SMP</w:t>
      </w:r>
    </w:p>
    <w:p w14:paraId="573A0689" w14:textId="1C63DED5" w:rsidR="0014767F" w:rsidRPr="00F929C8" w:rsidRDefault="00C5241D" w:rsidP="00813D80">
      <w:pPr>
        <w:spacing w:after="120" w:line="360" w:lineRule="auto"/>
        <w:jc w:val="both"/>
        <w:textAlignment w:val="baseline"/>
        <w:rPr>
          <w:rFonts w:asciiTheme="minorHAnsi" w:eastAsia="Calibri" w:hAnsiTheme="minorHAnsi" w:cs="Arial"/>
          <w:iCs/>
          <w:color w:val="000000"/>
          <w:sz w:val="21"/>
          <w:szCs w:val="21"/>
        </w:rPr>
      </w:pPr>
      <w:r w:rsidRPr="00F929C8">
        <w:rPr>
          <w:rFonts w:asciiTheme="minorHAnsi" w:eastAsia="Calibri" w:hAnsiTheme="minorHAnsi" w:cs="Arial"/>
          <w:iCs/>
          <w:color w:val="000000"/>
          <w:sz w:val="21"/>
          <w:szCs w:val="21"/>
        </w:rPr>
        <w:t>Individuals</w:t>
      </w:r>
      <w:r w:rsidR="0014767F" w:rsidRPr="00F929C8">
        <w:rPr>
          <w:rFonts w:asciiTheme="minorHAnsi" w:eastAsia="Calibri" w:hAnsiTheme="minorHAnsi" w:cs="Arial"/>
          <w:iCs/>
          <w:color w:val="000000"/>
          <w:sz w:val="21"/>
          <w:szCs w:val="21"/>
        </w:rPr>
        <w:t xml:space="preserve"> invited to participate in the SMP may invest up to </w:t>
      </w:r>
      <w:r w:rsidR="007B479B" w:rsidRPr="00F929C8">
        <w:rPr>
          <w:rFonts w:asciiTheme="minorHAnsi" w:eastAsia="Calibri" w:hAnsiTheme="minorHAnsi" w:cs="Arial"/>
          <w:iCs/>
          <w:color w:val="000000"/>
          <w:sz w:val="21"/>
          <w:szCs w:val="21"/>
        </w:rPr>
        <w:t>two</w:t>
      </w:r>
      <w:r w:rsidR="0014767F" w:rsidRPr="00F929C8">
        <w:rPr>
          <w:rFonts w:asciiTheme="minorHAnsi" w:eastAsia="Calibri" w:hAnsiTheme="minorHAnsi" w:cs="Arial"/>
          <w:iCs/>
          <w:color w:val="000000"/>
          <w:sz w:val="21"/>
          <w:szCs w:val="21"/>
        </w:rPr>
        <w:t xml:space="preserve"> times their base salary (the Investment Amount) in shares within a 12-month period</w:t>
      </w:r>
      <w:r w:rsidR="00E66DB8" w:rsidRPr="00F929C8">
        <w:rPr>
          <w:rFonts w:asciiTheme="minorHAnsi" w:eastAsia="Calibri" w:hAnsiTheme="minorHAnsi" w:cs="Arial"/>
          <w:iCs/>
          <w:color w:val="000000"/>
          <w:sz w:val="21"/>
          <w:szCs w:val="21"/>
        </w:rPr>
        <w:t xml:space="preserve"> (or such </w:t>
      </w:r>
      <w:r w:rsidR="00F76D09" w:rsidRPr="00F929C8">
        <w:rPr>
          <w:rFonts w:asciiTheme="minorHAnsi" w:eastAsia="Calibri" w:hAnsiTheme="minorHAnsi" w:cs="Arial"/>
          <w:iCs/>
          <w:color w:val="000000"/>
          <w:sz w:val="21"/>
          <w:szCs w:val="21"/>
        </w:rPr>
        <w:t>other</w:t>
      </w:r>
      <w:r w:rsidR="00E66DB8" w:rsidRPr="00F929C8">
        <w:rPr>
          <w:rFonts w:asciiTheme="minorHAnsi" w:eastAsia="Calibri" w:hAnsiTheme="minorHAnsi" w:cs="Arial"/>
          <w:iCs/>
          <w:color w:val="000000"/>
          <w:sz w:val="21"/>
          <w:szCs w:val="21"/>
        </w:rPr>
        <w:t xml:space="preserve"> period as the Board may determine)</w:t>
      </w:r>
      <w:r w:rsidR="0014767F" w:rsidRPr="00F929C8">
        <w:rPr>
          <w:rFonts w:asciiTheme="minorHAnsi" w:eastAsia="Calibri" w:hAnsiTheme="minorHAnsi" w:cs="Arial"/>
          <w:iCs/>
          <w:color w:val="000000"/>
          <w:sz w:val="21"/>
          <w:szCs w:val="21"/>
        </w:rPr>
        <w:t xml:space="preserve"> and be granted a matching award that gives them the right to receive matching shares at the end of the fifth financial year </w:t>
      </w:r>
      <w:r w:rsidR="00951C28" w:rsidRPr="00F929C8">
        <w:rPr>
          <w:rFonts w:asciiTheme="minorHAnsi" w:eastAsia="Calibri" w:hAnsiTheme="minorHAnsi" w:cs="Arial"/>
          <w:iCs/>
          <w:color w:val="000000"/>
          <w:sz w:val="21"/>
          <w:szCs w:val="21"/>
        </w:rPr>
        <w:t xml:space="preserve">subject to the achievement of </w:t>
      </w:r>
      <w:r w:rsidR="00E27349" w:rsidRPr="00F929C8">
        <w:rPr>
          <w:rFonts w:asciiTheme="minorHAnsi" w:eastAsia="Calibri" w:hAnsiTheme="minorHAnsi" w:cs="Arial"/>
          <w:iCs/>
          <w:color w:val="000000"/>
          <w:sz w:val="21"/>
          <w:szCs w:val="21"/>
        </w:rPr>
        <w:t xml:space="preserve"> certain share price hurdles measured in respect of </w:t>
      </w:r>
      <w:r w:rsidR="00704FEC" w:rsidRPr="00F929C8">
        <w:rPr>
          <w:rFonts w:asciiTheme="minorHAnsi" w:eastAsia="Calibri" w:hAnsiTheme="minorHAnsi" w:cs="Arial"/>
          <w:iCs/>
          <w:color w:val="000000"/>
          <w:sz w:val="21"/>
          <w:szCs w:val="21"/>
        </w:rPr>
        <w:t>each of the five financial years</w:t>
      </w:r>
      <w:r w:rsidR="00951C28" w:rsidRPr="00F929C8">
        <w:rPr>
          <w:rFonts w:asciiTheme="minorHAnsi" w:eastAsia="Calibri" w:hAnsiTheme="minorHAnsi" w:cs="Arial"/>
          <w:iCs/>
          <w:color w:val="000000"/>
          <w:sz w:val="21"/>
          <w:szCs w:val="21"/>
        </w:rPr>
        <w:t xml:space="preserve">. </w:t>
      </w:r>
      <w:r w:rsidR="0014767F" w:rsidRPr="00F929C8">
        <w:rPr>
          <w:rFonts w:asciiTheme="minorHAnsi" w:eastAsia="Calibri" w:hAnsiTheme="minorHAnsi" w:cs="Arial"/>
          <w:iCs/>
          <w:color w:val="000000"/>
          <w:sz w:val="21"/>
          <w:szCs w:val="21"/>
        </w:rPr>
        <w:t xml:space="preserve">The total number of matching shares under the matching award may be up to </w:t>
      </w:r>
      <w:r w:rsidR="00704FEC" w:rsidRPr="00F929C8">
        <w:rPr>
          <w:rFonts w:asciiTheme="minorHAnsi" w:eastAsia="Calibri" w:hAnsiTheme="minorHAnsi" w:cs="Arial"/>
          <w:iCs/>
          <w:color w:val="000000"/>
          <w:sz w:val="21"/>
          <w:szCs w:val="21"/>
        </w:rPr>
        <w:t xml:space="preserve">11.5 </w:t>
      </w:r>
      <w:r w:rsidR="0014767F" w:rsidRPr="00F929C8">
        <w:rPr>
          <w:rFonts w:asciiTheme="minorHAnsi" w:eastAsia="Calibri" w:hAnsiTheme="minorHAnsi" w:cs="Arial"/>
          <w:iCs/>
          <w:color w:val="000000"/>
          <w:sz w:val="21"/>
          <w:szCs w:val="21"/>
        </w:rPr>
        <w:t xml:space="preserve">times the number of </w:t>
      </w:r>
      <w:proofErr w:type="gramStart"/>
      <w:r w:rsidR="0014767F" w:rsidRPr="00F929C8">
        <w:rPr>
          <w:rFonts w:asciiTheme="minorHAnsi" w:eastAsia="Calibri" w:hAnsiTheme="minorHAnsi" w:cs="Arial"/>
          <w:iCs/>
          <w:color w:val="000000"/>
          <w:sz w:val="21"/>
          <w:szCs w:val="21"/>
        </w:rPr>
        <w:t>invested shares</w:t>
      </w:r>
      <w:proofErr w:type="gramEnd"/>
      <w:r w:rsidR="000C3284" w:rsidRPr="00F929C8">
        <w:rPr>
          <w:rFonts w:asciiTheme="minorHAnsi" w:eastAsia="Calibri" w:hAnsiTheme="minorHAnsi" w:cs="Arial"/>
          <w:iCs/>
          <w:color w:val="000000"/>
          <w:sz w:val="21"/>
          <w:szCs w:val="21"/>
        </w:rPr>
        <w:t xml:space="preserve"> </w:t>
      </w:r>
      <w:r w:rsidR="00EC114D" w:rsidRPr="00F929C8">
        <w:rPr>
          <w:rFonts w:asciiTheme="minorHAnsi" w:eastAsia="Calibri" w:hAnsiTheme="minorHAnsi" w:cs="Arial"/>
          <w:iCs/>
          <w:color w:val="000000"/>
          <w:sz w:val="21"/>
          <w:szCs w:val="21"/>
        </w:rPr>
        <w:t>in aggregate</w:t>
      </w:r>
      <w:r w:rsidR="0014767F" w:rsidRPr="00F929C8">
        <w:rPr>
          <w:rFonts w:asciiTheme="minorHAnsi" w:eastAsia="Calibri" w:hAnsiTheme="minorHAnsi" w:cs="Arial"/>
          <w:iCs/>
          <w:color w:val="000000"/>
          <w:sz w:val="21"/>
          <w:szCs w:val="21"/>
        </w:rPr>
        <w:t xml:space="preserve">. </w:t>
      </w:r>
    </w:p>
    <w:p w14:paraId="4BA8A275" w14:textId="44FDC9F8" w:rsidR="00F605E0" w:rsidRPr="00F929C8" w:rsidRDefault="00F605E0"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Recovery and withholding provisions</w:t>
      </w:r>
    </w:p>
    <w:p w14:paraId="0AD1FB7A" w14:textId="77777777" w:rsidR="006F607F" w:rsidRPr="00F929C8" w:rsidRDefault="00F605E0" w:rsidP="00813D80">
      <w:pPr>
        <w:spacing w:after="120" w:line="360" w:lineRule="auto"/>
        <w:jc w:val="both"/>
        <w:textAlignment w:val="baseline"/>
        <w:rPr>
          <w:rFonts w:asciiTheme="minorHAnsi" w:eastAsia="Calibri" w:hAnsiTheme="minorHAnsi" w:cs="Arial"/>
          <w:color w:val="000000"/>
          <w:spacing w:val="-2"/>
          <w:sz w:val="21"/>
          <w:szCs w:val="21"/>
        </w:rPr>
      </w:pPr>
      <w:r w:rsidRPr="00F929C8">
        <w:rPr>
          <w:rFonts w:asciiTheme="minorHAnsi" w:eastAsia="Calibri" w:hAnsiTheme="minorHAnsi" w:cs="Arial"/>
          <w:color w:val="000000"/>
          <w:spacing w:val="-2"/>
          <w:sz w:val="21"/>
          <w:szCs w:val="21"/>
        </w:rPr>
        <w:t xml:space="preserve">In accordance with the Dutch Civil Code, the Non-Executive Directors will be entitled, on behalf of the Company, to recover variable payments paid to Directors, in full or in part, to the extent that payment thereof has been made based on incorrect information about the </w:t>
      </w:r>
      <w:proofErr w:type="spellStart"/>
      <w:r w:rsidRPr="00F929C8">
        <w:rPr>
          <w:rFonts w:asciiTheme="minorHAnsi" w:eastAsia="Calibri" w:hAnsiTheme="minorHAnsi" w:cs="Arial"/>
          <w:color w:val="000000"/>
          <w:spacing w:val="-2"/>
          <w:sz w:val="21"/>
          <w:szCs w:val="21"/>
        </w:rPr>
        <w:t>realisation</w:t>
      </w:r>
      <w:proofErr w:type="spellEnd"/>
      <w:r w:rsidRPr="00F929C8">
        <w:rPr>
          <w:rFonts w:asciiTheme="minorHAnsi" w:eastAsia="Calibri" w:hAnsiTheme="minorHAnsi" w:cs="Arial"/>
          <w:color w:val="000000"/>
          <w:spacing w:val="-2"/>
          <w:sz w:val="21"/>
          <w:szCs w:val="21"/>
        </w:rPr>
        <w:t xml:space="preserve"> of the underlying goals or about the circumstances from which the entitlement to the bonus arose. </w:t>
      </w:r>
    </w:p>
    <w:p w14:paraId="39842401" w14:textId="3E684D79" w:rsidR="00416B0B" w:rsidRPr="00F929C8" w:rsidRDefault="00F605E0"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pacing w:val="-2"/>
          <w:sz w:val="21"/>
          <w:szCs w:val="21"/>
        </w:rPr>
        <w:t xml:space="preserve">Furthermore, </w:t>
      </w:r>
      <w:r w:rsidR="00963416" w:rsidRPr="00F929C8">
        <w:rPr>
          <w:rFonts w:asciiTheme="minorHAnsi" w:eastAsia="Calibri" w:hAnsiTheme="minorHAnsi" w:cs="Arial"/>
          <w:color w:val="000000"/>
          <w:spacing w:val="-2"/>
          <w:sz w:val="21"/>
          <w:szCs w:val="21"/>
        </w:rPr>
        <w:t xml:space="preserve">under the terms of the </w:t>
      </w:r>
      <w:r w:rsidR="00F76D09" w:rsidRPr="00F929C8">
        <w:rPr>
          <w:rFonts w:asciiTheme="minorHAnsi" w:eastAsia="Calibri" w:hAnsiTheme="minorHAnsi" w:cs="Arial"/>
          <w:color w:val="000000"/>
          <w:spacing w:val="-2"/>
          <w:sz w:val="21"/>
          <w:szCs w:val="21"/>
        </w:rPr>
        <w:t xml:space="preserve">relevant variable remuneration, </w:t>
      </w:r>
      <w:r w:rsidRPr="00F929C8">
        <w:rPr>
          <w:rFonts w:asciiTheme="minorHAnsi" w:eastAsia="Calibri" w:hAnsiTheme="minorHAnsi" w:cs="Arial"/>
          <w:color w:val="000000"/>
          <w:spacing w:val="-2"/>
          <w:sz w:val="21"/>
          <w:szCs w:val="21"/>
        </w:rPr>
        <w:t xml:space="preserve">the Non-Executive Directors may adjust the outcome of variable remuneration to an appropriate level if </w:t>
      </w:r>
      <w:r w:rsidR="005F4320" w:rsidRPr="00F929C8">
        <w:rPr>
          <w:rFonts w:asciiTheme="minorHAnsi" w:eastAsia="Calibri" w:hAnsiTheme="minorHAnsi" w:cs="Arial"/>
          <w:color w:val="000000"/>
          <w:spacing w:val="-2"/>
          <w:sz w:val="21"/>
          <w:szCs w:val="21"/>
        </w:rPr>
        <w:t xml:space="preserve">the Non-Executive Directors consider the </w:t>
      </w:r>
      <w:r w:rsidRPr="00F929C8">
        <w:rPr>
          <w:rFonts w:asciiTheme="minorHAnsi" w:eastAsia="Calibri" w:hAnsiTheme="minorHAnsi" w:cs="Arial"/>
          <w:color w:val="000000"/>
          <w:spacing w:val="-2"/>
          <w:sz w:val="21"/>
          <w:szCs w:val="21"/>
        </w:rPr>
        <w:t xml:space="preserve">payment of the variable remuneration </w:t>
      </w:r>
      <w:r w:rsidR="005F4320" w:rsidRPr="00F929C8">
        <w:rPr>
          <w:rFonts w:asciiTheme="minorHAnsi" w:eastAsia="Calibri" w:hAnsiTheme="minorHAnsi" w:cs="Arial"/>
          <w:color w:val="000000"/>
          <w:spacing w:val="-2"/>
          <w:sz w:val="21"/>
          <w:szCs w:val="21"/>
        </w:rPr>
        <w:t xml:space="preserve">to be </w:t>
      </w:r>
      <w:r w:rsidRPr="00F929C8">
        <w:rPr>
          <w:rFonts w:asciiTheme="minorHAnsi" w:eastAsia="Calibri" w:hAnsiTheme="minorHAnsi" w:cs="Arial"/>
          <w:color w:val="000000"/>
          <w:spacing w:val="-2"/>
          <w:sz w:val="21"/>
          <w:szCs w:val="21"/>
        </w:rPr>
        <w:t>unacceptable according to the requirement of</w:t>
      </w:r>
      <w:r w:rsidR="000C1E59" w:rsidRPr="00F929C8">
        <w:rPr>
          <w:rFonts w:asciiTheme="minorHAnsi" w:eastAsia="Calibri" w:hAnsiTheme="minorHAnsi" w:cs="Arial"/>
          <w:color w:val="000000"/>
          <w:spacing w:val="-2"/>
          <w:sz w:val="21"/>
          <w:szCs w:val="21"/>
        </w:rPr>
        <w:t xml:space="preserve"> </w:t>
      </w:r>
      <w:r w:rsidR="000C1E59" w:rsidRPr="00F929C8">
        <w:rPr>
          <w:rFonts w:asciiTheme="minorHAnsi" w:eastAsia="Calibri" w:hAnsiTheme="minorHAnsi" w:cs="Arial"/>
          <w:color w:val="000000"/>
          <w:sz w:val="21"/>
          <w:szCs w:val="21"/>
        </w:rPr>
        <w:t xml:space="preserve">reasonableness and fairness. Any application of </w:t>
      </w:r>
      <w:r w:rsidR="008E2E98" w:rsidRPr="00F929C8">
        <w:rPr>
          <w:rFonts w:asciiTheme="minorHAnsi" w:eastAsia="Calibri" w:hAnsiTheme="minorHAnsi" w:cs="Arial"/>
          <w:color w:val="000000"/>
          <w:sz w:val="21"/>
          <w:szCs w:val="21"/>
        </w:rPr>
        <w:t>claw back</w:t>
      </w:r>
      <w:r w:rsidR="000C1E59" w:rsidRPr="00F929C8">
        <w:rPr>
          <w:rFonts w:asciiTheme="minorHAnsi" w:eastAsia="Calibri" w:hAnsiTheme="minorHAnsi" w:cs="Arial"/>
          <w:color w:val="000000"/>
          <w:sz w:val="21"/>
          <w:szCs w:val="21"/>
        </w:rPr>
        <w:t xml:space="preserve"> or discretion will be disclosed and explained in the relevant company’s Annual remuneration report.</w:t>
      </w:r>
      <w:r w:rsidR="00416B0B" w:rsidRPr="00F929C8">
        <w:rPr>
          <w:rFonts w:asciiTheme="minorHAnsi" w:eastAsia="Calibri" w:hAnsiTheme="minorHAnsi" w:cs="Arial"/>
          <w:color w:val="000000"/>
          <w:sz w:val="21"/>
          <w:szCs w:val="21"/>
        </w:rPr>
        <w:t xml:space="preserve"> The recovery and withholding provisions applying to any new LTIP will be considered before implementation to ensure compliance with law and relevant market practice at the time.</w:t>
      </w:r>
    </w:p>
    <w:p w14:paraId="767D4996" w14:textId="77777777" w:rsidR="00E12C57" w:rsidRPr="00F929C8" w:rsidRDefault="00E12C57"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Shareholding requirements</w:t>
      </w:r>
    </w:p>
    <w:p w14:paraId="0A3301EB" w14:textId="769C5C22" w:rsidR="00D5778A" w:rsidRPr="00F929C8" w:rsidRDefault="00E12C57" w:rsidP="00700E22">
      <w:pPr>
        <w:spacing w:after="120" w:line="360" w:lineRule="auto"/>
        <w:jc w:val="both"/>
        <w:textAlignment w:val="baseline"/>
        <w:rPr>
          <w:rFonts w:asciiTheme="minorHAnsi" w:eastAsia="Calibri" w:hAnsiTheme="minorHAnsi" w:cs="Arial"/>
          <w:color w:val="000000"/>
          <w:spacing w:val="-1"/>
          <w:sz w:val="21"/>
          <w:szCs w:val="21"/>
        </w:rPr>
      </w:pPr>
      <w:r w:rsidRPr="00F929C8">
        <w:rPr>
          <w:rFonts w:asciiTheme="minorHAnsi" w:eastAsia="Calibri" w:hAnsiTheme="minorHAnsi" w:cs="Arial"/>
          <w:color w:val="000000"/>
          <w:spacing w:val="-1"/>
          <w:sz w:val="21"/>
          <w:szCs w:val="21"/>
        </w:rPr>
        <w:t>During employment, Executive Directors are required to build and maintain a shareholding equivalent to 300% and 200% of their base salary for the CEO and other Executive Directors respectively. Executive Directors will be encouraged to build up their shareholding</w:t>
      </w:r>
      <w:r w:rsidR="00D5778A" w:rsidRPr="00F929C8">
        <w:rPr>
          <w:rFonts w:asciiTheme="minorHAnsi" w:eastAsia="Calibri" w:hAnsiTheme="minorHAnsi" w:cs="Arial"/>
          <w:color w:val="000000"/>
          <w:spacing w:val="-1"/>
          <w:sz w:val="21"/>
          <w:szCs w:val="21"/>
        </w:rPr>
        <w:t xml:space="preserve"> over time by retaining at least </w:t>
      </w:r>
      <w:r w:rsidR="00E402B4" w:rsidRPr="00F929C8">
        <w:rPr>
          <w:rFonts w:asciiTheme="minorHAnsi" w:eastAsia="Calibri" w:hAnsiTheme="minorHAnsi" w:cs="Arial"/>
          <w:color w:val="000000"/>
          <w:spacing w:val="-1"/>
          <w:sz w:val="21"/>
          <w:szCs w:val="21"/>
        </w:rPr>
        <w:lastRenderedPageBreak/>
        <w:t>30</w:t>
      </w:r>
      <w:r w:rsidR="00D5778A" w:rsidRPr="00F929C8">
        <w:rPr>
          <w:rFonts w:asciiTheme="minorHAnsi" w:eastAsia="Calibri" w:hAnsiTheme="minorHAnsi" w:cs="Arial"/>
          <w:color w:val="000000"/>
          <w:spacing w:val="-1"/>
          <w:sz w:val="21"/>
          <w:szCs w:val="21"/>
        </w:rPr>
        <w:t>% of the net of tax (and social security) value of shares received under the incentive plans until the requirement is met.</w:t>
      </w:r>
    </w:p>
    <w:p w14:paraId="61DD5BA0" w14:textId="77777777" w:rsidR="00D5778A" w:rsidRPr="00F929C8" w:rsidRDefault="00D5778A"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Recruitment policy</w:t>
      </w:r>
    </w:p>
    <w:p w14:paraId="61B4D060" w14:textId="2E18BD17" w:rsidR="00997811" w:rsidRPr="00F929C8" w:rsidRDefault="00450A0F" w:rsidP="00700E22">
      <w:pPr>
        <w:spacing w:after="120" w:line="360" w:lineRule="auto"/>
        <w:jc w:val="both"/>
        <w:textAlignment w:val="baseline"/>
        <w:rPr>
          <w:rFonts w:asciiTheme="minorHAnsi" w:eastAsia="Calibri" w:hAnsiTheme="minorHAnsi" w:cs="Arial"/>
          <w:color w:val="000000"/>
          <w:spacing w:val="-1"/>
          <w:sz w:val="21"/>
          <w:szCs w:val="21"/>
        </w:rPr>
      </w:pPr>
      <w:r w:rsidRPr="00F929C8">
        <w:rPr>
          <w:rFonts w:asciiTheme="minorHAnsi" w:eastAsia="Calibri" w:hAnsiTheme="minorHAnsi" w:cs="Arial"/>
          <w:color w:val="000000"/>
          <w:spacing w:val="-1"/>
          <w:sz w:val="21"/>
          <w:szCs w:val="21"/>
        </w:rPr>
        <w:t xml:space="preserve">Consistent with market practice, remuneration packages for any new appointments to the Board (including internal hires) will be set in line with the Policy. For external appointments, the Company </w:t>
      </w:r>
      <w:proofErr w:type="spellStart"/>
      <w:r w:rsidRPr="00F929C8">
        <w:rPr>
          <w:rFonts w:asciiTheme="minorHAnsi" w:eastAsia="Calibri" w:hAnsiTheme="minorHAnsi" w:cs="Arial"/>
          <w:color w:val="000000"/>
          <w:spacing w:val="-1"/>
          <w:sz w:val="21"/>
          <w:szCs w:val="21"/>
        </w:rPr>
        <w:t>recognises</w:t>
      </w:r>
      <w:proofErr w:type="spellEnd"/>
      <w:r w:rsidRPr="00F929C8">
        <w:rPr>
          <w:rFonts w:asciiTheme="minorHAnsi" w:eastAsia="Calibri" w:hAnsiTheme="minorHAnsi" w:cs="Arial"/>
          <w:color w:val="000000"/>
          <w:spacing w:val="-1"/>
          <w:sz w:val="21"/>
          <w:szCs w:val="21"/>
        </w:rPr>
        <w:t xml:space="preserve"> that it may need to provide remuneration for forfeited awards from the previous employer</w:t>
      </w:r>
      <w:r w:rsidR="0051385A" w:rsidRPr="00F929C8">
        <w:rPr>
          <w:rFonts w:asciiTheme="minorHAnsi" w:eastAsia="Calibri" w:hAnsiTheme="minorHAnsi" w:cs="Arial"/>
          <w:color w:val="000000"/>
          <w:spacing w:val="-1"/>
          <w:sz w:val="21"/>
          <w:szCs w:val="21"/>
        </w:rPr>
        <w:t xml:space="preserve"> (buy-out awards). To the extent possible, the design of buy-out awards will be made on a broadly like-for-like basis and shall be no more generous than the terms of the incentives it is replacing, </w:t>
      </w:r>
      <w:proofErr w:type="gramStart"/>
      <w:r w:rsidR="0051385A" w:rsidRPr="00F929C8">
        <w:rPr>
          <w:rFonts w:asciiTheme="minorHAnsi" w:eastAsia="Calibri" w:hAnsiTheme="minorHAnsi" w:cs="Arial"/>
          <w:color w:val="000000"/>
          <w:spacing w:val="-1"/>
          <w:sz w:val="21"/>
          <w:szCs w:val="21"/>
        </w:rPr>
        <w:t>taking into</w:t>
      </w:r>
      <w:r w:rsidR="00997811" w:rsidRPr="00F929C8">
        <w:rPr>
          <w:rFonts w:asciiTheme="minorHAnsi" w:eastAsia="Calibri" w:hAnsiTheme="minorHAnsi" w:cs="Arial"/>
          <w:color w:val="000000"/>
          <w:spacing w:val="-1"/>
          <w:sz w:val="21"/>
          <w:szCs w:val="21"/>
        </w:rPr>
        <w:t xml:space="preserve"> account</w:t>
      </w:r>
      <w:proofErr w:type="gramEnd"/>
      <w:r w:rsidR="00997811" w:rsidRPr="00F929C8">
        <w:rPr>
          <w:rFonts w:asciiTheme="minorHAnsi" w:eastAsia="Calibri" w:hAnsiTheme="minorHAnsi" w:cs="Arial"/>
          <w:color w:val="000000"/>
          <w:spacing w:val="-1"/>
          <w:sz w:val="21"/>
          <w:szCs w:val="21"/>
        </w:rPr>
        <w:t xml:space="preserve"> the performance conditions attached to the vesting of the forfeited incentives, the timing of vesting and the likelihood of vesting.</w:t>
      </w:r>
      <w:r w:rsidR="0014767F" w:rsidRPr="00F929C8">
        <w:rPr>
          <w:rFonts w:asciiTheme="minorHAnsi" w:eastAsia="Calibri" w:hAnsiTheme="minorHAnsi" w:cs="Arial"/>
          <w:color w:val="000000"/>
          <w:spacing w:val="-1"/>
          <w:sz w:val="21"/>
          <w:szCs w:val="21"/>
        </w:rPr>
        <w:t xml:space="preserve"> If an Executive Director relocates to perform their role, additional support may be provided for a defined </w:t>
      </w:r>
      <w:proofErr w:type="gramStart"/>
      <w:r w:rsidR="0014767F" w:rsidRPr="00F929C8">
        <w:rPr>
          <w:rFonts w:asciiTheme="minorHAnsi" w:eastAsia="Calibri" w:hAnsiTheme="minorHAnsi" w:cs="Arial"/>
          <w:color w:val="000000"/>
          <w:spacing w:val="-1"/>
          <w:sz w:val="21"/>
          <w:szCs w:val="21"/>
        </w:rPr>
        <w:t>period of time</w:t>
      </w:r>
      <w:proofErr w:type="gramEnd"/>
      <w:r w:rsidR="0014767F" w:rsidRPr="00F929C8">
        <w:rPr>
          <w:rFonts w:asciiTheme="minorHAnsi" w:eastAsia="Calibri" w:hAnsiTheme="minorHAnsi" w:cs="Arial"/>
          <w:color w:val="000000"/>
          <w:spacing w:val="-1"/>
          <w:sz w:val="21"/>
          <w:szCs w:val="21"/>
        </w:rPr>
        <w:t xml:space="preserve"> (including, but not limited to, temporary accommodation, flights, immigration assistance and relocation allowance). </w:t>
      </w:r>
    </w:p>
    <w:p w14:paraId="70AADBFF" w14:textId="77777777" w:rsidR="00997811" w:rsidRPr="00F929C8" w:rsidRDefault="00997811"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Termination of employment policy</w:t>
      </w:r>
    </w:p>
    <w:p w14:paraId="3B64D399" w14:textId="6787859A" w:rsidR="00416B0B" w:rsidRPr="00F929C8" w:rsidRDefault="00C941CB"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Executive Directors have a service contract requiring </w:t>
      </w:r>
      <w:r w:rsidR="0041149E" w:rsidRPr="00F929C8">
        <w:rPr>
          <w:rFonts w:asciiTheme="minorHAnsi" w:eastAsia="Calibri" w:hAnsiTheme="minorHAnsi" w:cs="Arial"/>
          <w:color w:val="000000"/>
          <w:sz w:val="21"/>
          <w:szCs w:val="21"/>
        </w:rPr>
        <w:t>up to twelve</w:t>
      </w:r>
      <w:r w:rsidRPr="00F929C8">
        <w:rPr>
          <w:rFonts w:asciiTheme="minorHAnsi" w:eastAsia="Calibri" w:hAnsiTheme="minorHAnsi" w:cs="Arial"/>
          <w:color w:val="000000"/>
          <w:sz w:val="21"/>
          <w:szCs w:val="21"/>
        </w:rPr>
        <w:t xml:space="preserve"> months’ notice of termination from either party. The Company may, at its sole discretion, terminate the contract immediately, at any time after notice is served, by making a payment in lieu of notice equivalent to salary, benefits and pension, with</w:t>
      </w:r>
      <w:r w:rsidR="00D118AA" w:rsidRPr="00F929C8">
        <w:rPr>
          <w:rFonts w:asciiTheme="minorHAnsi" w:eastAsia="Calibri" w:hAnsiTheme="minorHAnsi" w:cs="Arial"/>
          <w:color w:val="000000"/>
          <w:sz w:val="21"/>
          <w:szCs w:val="21"/>
        </w:rPr>
        <w:t xml:space="preserve"> any such payments normally being paid in monthly instalments over the remaining notice period. Payments would be reduced to offset earnings from other employment.</w:t>
      </w:r>
      <w:r w:rsidR="00AC69FA" w:rsidRPr="00F929C8">
        <w:rPr>
          <w:rFonts w:asciiTheme="minorHAnsi" w:eastAsia="Calibri" w:hAnsiTheme="minorHAnsi" w:cs="Arial"/>
          <w:color w:val="000000"/>
          <w:sz w:val="21"/>
          <w:szCs w:val="21"/>
        </w:rPr>
        <w:t xml:space="preserve"> In addition, and consistent with market practice, the Company may pay a contribution towards the Executive Director’s legal fees for entering into a </w:t>
      </w:r>
      <w:r w:rsidR="00E27349" w:rsidRPr="00F929C8">
        <w:rPr>
          <w:rFonts w:asciiTheme="minorHAnsi" w:eastAsia="Calibri" w:hAnsiTheme="minorHAnsi" w:cs="Arial"/>
          <w:color w:val="000000"/>
          <w:sz w:val="21"/>
          <w:szCs w:val="21"/>
        </w:rPr>
        <w:t xml:space="preserve">settlement </w:t>
      </w:r>
      <w:r w:rsidR="00AC69FA" w:rsidRPr="00F929C8">
        <w:rPr>
          <w:rFonts w:asciiTheme="minorHAnsi" w:eastAsia="Calibri" w:hAnsiTheme="minorHAnsi" w:cs="Arial"/>
          <w:color w:val="000000"/>
          <w:sz w:val="21"/>
          <w:szCs w:val="21"/>
        </w:rPr>
        <w:t>agreement, may pay a contribution towards fees for outplacement services as part of a negotiated settlement, or may make a payment to</w:t>
      </w:r>
      <w:r w:rsidR="006942D7" w:rsidRPr="00F929C8">
        <w:rPr>
          <w:rFonts w:asciiTheme="minorHAnsi" w:eastAsia="Calibri" w:hAnsiTheme="minorHAnsi" w:cs="Arial"/>
          <w:color w:val="000000"/>
          <w:sz w:val="21"/>
          <w:szCs w:val="21"/>
        </w:rPr>
        <w:t xml:space="preserve"> compromise claims the Executive Director may have. There is currently no provision for additional remuneration on termination following a change of control. Payment may also be made in respect of accrued benefits, including untaken holiday.</w:t>
      </w:r>
    </w:p>
    <w:p w14:paraId="4279EA8D" w14:textId="5FE720B4" w:rsidR="006942D7" w:rsidRPr="00F929C8" w:rsidRDefault="00673819" w:rsidP="00700E22">
      <w:pPr>
        <w:spacing w:after="120" w:line="360" w:lineRule="auto"/>
        <w:jc w:val="both"/>
        <w:textAlignment w:val="baseline"/>
        <w:rPr>
          <w:rFonts w:asciiTheme="minorHAnsi" w:eastAsia="Calibri" w:hAnsiTheme="minorHAnsi" w:cs="Arial"/>
          <w:color w:val="000000"/>
          <w:spacing w:val="-1"/>
          <w:sz w:val="21"/>
          <w:szCs w:val="21"/>
        </w:rPr>
      </w:pPr>
      <w:r w:rsidRPr="00F929C8">
        <w:rPr>
          <w:rFonts w:asciiTheme="minorHAnsi" w:eastAsia="Calibri" w:hAnsiTheme="minorHAnsi" w:cs="Arial"/>
          <w:color w:val="000000"/>
          <w:spacing w:val="-1"/>
          <w:sz w:val="21"/>
          <w:szCs w:val="21"/>
        </w:rPr>
        <w:t>Treatment of other elements of the Policy (including the annual bonus and VCP) will vary depending on whether an Executive Director is defined as a “good” or “bad” leaver. Bad leavers will not be eligible to receive an annual bonus payout and outstanding awards will lapse. However, in certain circumstances,</w:t>
      </w:r>
      <w:r w:rsidR="00774F5A" w:rsidRPr="00F929C8">
        <w:rPr>
          <w:rFonts w:asciiTheme="minorHAnsi" w:eastAsia="Calibri" w:hAnsiTheme="minorHAnsi" w:cs="Arial"/>
          <w:color w:val="000000"/>
          <w:spacing w:val="-1"/>
          <w:sz w:val="21"/>
          <w:szCs w:val="21"/>
        </w:rPr>
        <w:t xml:space="preserve"> at the discretion of the Remuneration Committee, good leaver status may be applied. Good leavers will generally be eligible to receive an annual bonus payout and outstanding VCP (and any future LTIP) awards. The annual bonus, VCP</w:t>
      </w:r>
      <w:r w:rsidR="00803165" w:rsidRPr="00F929C8">
        <w:rPr>
          <w:rFonts w:asciiTheme="minorHAnsi" w:eastAsia="Calibri" w:hAnsiTheme="minorHAnsi" w:cs="Arial"/>
          <w:color w:val="000000"/>
          <w:spacing w:val="-1"/>
          <w:sz w:val="21"/>
          <w:szCs w:val="21"/>
        </w:rPr>
        <w:t>, SMP</w:t>
      </w:r>
      <w:r w:rsidR="00774F5A" w:rsidRPr="00F929C8">
        <w:rPr>
          <w:rFonts w:asciiTheme="minorHAnsi" w:eastAsia="Calibri" w:hAnsiTheme="minorHAnsi" w:cs="Arial"/>
          <w:color w:val="000000"/>
          <w:spacing w:val="-1"/>
          <w:sz w:val="21"/>
          <w:szCs w:val="21"/>
        </w:rPr>
        <w:t xml:space="preserve"> and LTIP awards will be subject to the satisfaction</w:t>
      </w:r>
      <w:r w:rsidR="00A91FA2" w:rsidRPr="00F929C8">
        <w:rPr>
          <w:rFonts w:asciiTheme="minorHAnsi" w:eastAsia="Calibri" w:hAnsiTheme="minorHAnsi" w:cs="Arial"/>
          <w:color w:val="000000"/>
          <w:spacing w:val="-1"/>
          <w:sz w:val="21"/>
          <w:szCs w:val="21"/>
        </w:rPr>
        <w:t xml:space="preserve"> of the relevant performance criteria tested at the normal date and, ordinarily, the outcome will be calculated on a time pro-rata basis. The Remuneration Committee will have the ability to allow the awards to vest with no time pro-rating in exceptional circumstances.</w:t>
      </w:r>
    </w:p>
    <w:p w14:paraId="70B3C418" w14:textId="77777777" w:rsidR="007B233B" w:rsidRPr="00F929C8" w:rsidRDefault="007B233B"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All-employee share plans</w:t>
      </w:r>
    </w:p>
    <w:p w14:paraId="6B067ED1" w14:textId="77777777" w:rsidR="000E665B" w:rsidRPr="00F929C8" w:rsidRDefault="000E665B"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lastRenderedPageBreak/>
        <w:t>The Executive Directors are eligible to participate in any all-employee share plan operated by the Company. Participation will be capped by the limits imposed by any relevant tax authorities in relation to the respective plan that might be operated.</w:t>
      </w:r>
    </w:p>
    <w:p w14:paraId="2B673A08" w14:textId="77777777" w:rsidR="00B81790" w:rsidRPr="00F929C8" w:rsidRDefault="00B81790"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Discretions retained by the Remuneration Committee</w:t>
      </w:r>
    </w:p>
    <w:p w14:paraId="3229FFA7" w14:textId="77777777" w:rsidR="00B81790" w:rsidRPr="00F929C8" w:rsidRDefault="00B81790"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Remuneration Committee may apply discretion when permitted by the various plan rules in operating the various incentive plans including in relation to:</w:t>
      </w:r>
    </w:p>
    <w:p w14:paraId="6CB8375B" w14:textId="77777777" w:rsidR="007C0855" w:rsidRPr="00F929C8" w:rsidRDefault="007C0855" w:rsidP="00700E22">
      <w:pPr>
        <w:numPr>
          <w:ilvl w:val="0"/>
          <w:numId w:val="1"/>
        </w:numPr>
        <w:tabs>
          <w:tab w:val="left" w:pos="288"/>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determining vesting under the incentive </w:t>
      </w:r>
      <w:proofErr w:type="gramStart"/>
      <w:r w:rsidRPr="00F929C8">
        <w:rPr>
          <w:rFonts w:asciiTheme="minorHAnsi" w:eastAsia="Calibri" w:hAnsiTheme="minorHAnsi" w:cs="Arial"/>
          <w:color w:val="000000"/>
          <w:sz w:val="21"/>
          <w:szCs w:val="21"/>
        </w:rPr>
        <w:t>plans;</w:t>
      </w:r>
      <w:proofErr w:type="gramEnd"/>
    </w:p>
    <w:p w14:paraId="3B340655" w14:textId="77777777" w:rsidR="003064A2" w:rsidRPr="00F929C8" w:rsidRDefault="003064A2" w:rsidP="00700E22">
      <w:pPr>
        <w:numPr>
          <w:ilvl w:val="0"/>
          <w:numId w:val="1"/>
        </w:numPr>
        <w:tabs>
          <w:tab w:val="left" w:pos="288"/>
        </w:tabs>
        <w:spacing w:after="120" w:line="360" w:lineRule="auto"/>
        <w:ind w:left="432" w:hanging="43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determining the status of leavers and, where relevant, the extent of </w:t>
      </w:r>
      <w:proofErr w:type="gramStart"/>
      <w:r w:rsidRPr="00F929C8">
        <w:rPr>
          <w:rFonts w:asciiTheme="minorHAnsi" w:eastAsia="Calibri" w:hAnsiTheme="minorHAnsi" w:cs="Arial"/>
          <w:color w:val="000000"/>
          <w:sz w:val="21"/>
          <w:szCs w:val="21"/>
        </w:rPr>
        <w:t>vesting;</w:t>
      </w:r>
      <w:proofErr w:type="gramEnd"/>
    </w:p>
    <w:p w14:paraId="55E3CDB6" w14:textId="77777777" w:rsidR="003064A2" w:rsidRPr="00F929C8" w:rsidRDefault="003064A2" w:rsidP="00700E22">
      <w:pPr>
        <w:numPr>
          <w:ilvl w:val="0"/>
          <w:numId w:val="1"/>
        </w:numPr>
        <w:tabs>
          <w:tab w:val="left" w:pos="288"/>
        </w:tabs>
        <w:spacing w:after="120" w:line="360" w:lineRule="auto"/>
        <w:ind w:left="432" w:hanging="43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determining the payments due in the event of a change of </w:t>
      </w:r>
      <w:proofErr w:type="gramStart"/>
      <w:r w:rsidRPr="00F929C8">
        <w:rPr>
          <w:rFonts w:asciiTheme="minorHAnsi" w:eastAsia="Calibri" w:hAnsiTheme="minorHAnsi" w:cs="Arial"/>
          <w:color w:val="000000"/>
          <w:sz w:val="21"/>
          <w:szCs w:val="21"/>
        </w:rPr>
        <w:t>control;</w:t>
      </w:r>
      <w:proofErr w:type="gramEnd"/>
    </w:p>
    <w:p w14:paraId="1F579763" w14:textId="77777777" w:rsidR="003064A2" w:rsidRPr="00F929C8" w:rsidRDefault="003064A2" w:rsidP="00700E22">
      <w:pPr>
        <w:numPr>
          <w:ilvl w:val="0"/>
          <w:numId w:val="1"/>
        </w:numPr>
        <w:tabs>
          <w:tab w:val="left" w:pos="288"/>
        </w:tabs>
        <w:spacing w:after="120" w:line="360" w:lineRule="auto"/>
        <w:ind w:left="432" w:hanging="43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making appropriate adjustments required in certain circumstances (e.g. rights issues, corporate restructuring events, variation of capital and special dividends); and</w:t>
      </w:r>
    </w:p>
    <w:p w14:paraId="7E576363" w14:textId="77777777" w:rsidR="003064A2" w:rsidRPr="00F929C8" w:rsidRDefault="003064A2" w:rsidP="00700E22">
      <w:pPr>
        <w:numPr>
          <w:ilvl w:val="0"/>
          <w:numId w:val="1"/>
        </w:numPr>
        <w:tabs>
          <w:tab w:val="left" w:pos="288"/>
        </w:tabs>
        <w:spacing w:after="120" w:line="360" w:lineRule="auto"/>
        <w:ind w:left="432" w:hanging="43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adjusting existing targets if events occur that cause the Remuneration Committee to determine that the targets set are no longer appropriate and that amendment is required so the relevant award can achieve its original intended purpose, provided that the new targets are not </w:t>
      </w:r>
      <w:proofErr w:type="gramStart"/>
      <w:r w:rsidRPr="00F929C8">
        <w:rPr>
          <w:rFonts w:asciiTheme="minorHAnsi" w:eastAsia="Calibri" w:hAnsiTheme="minorHAnsi" w:cs="Arial"/>
          <w:color w:val="000000"/>
          <w:sz w:val="21"/>
          <w:szCs w:val="21"/>
        </w:rPr>
        <w:t>materially less</w:t>
      </w:r>
      <w:proofErr w:type="gramEnd"/>
      <w:r w:rsidRPr="00F929C8">
        <w:rPr>
          <w:rFonts w:asciiTheme="minorHAnsi" w:eastAsia="Calibri" w:hAnsiTheme="minorHAnsi" w:cs="Arial"/>
          <w:color w:val="000000"/>
          <w:sz w:val="21"/>
          <w:szCs w:val="21"/>
        </w:rPr>
        <w:t xml:space="preserve"> difficult to satisfy in the opinion of the Remuneration Committee.</w:t>
      </w:r>
    </w:p>
    <w:p w14:paraId="6D51B61B" w14:textId="77777777" w:rsidR="00AD7E38" w:rsidRPr="00F929C8" w:rsidRDefault="00AD7E38"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To the extent discretion is applied in a year, this will be disclosed in the relevant Directors’ remuneration report.</w:t>
      </w:r>
    </w:p>
    <w:p w14:paraId="72C40C56" w14:textId="77777777" w:rsidR="00AD7E38" w:rsidRPr="00F929C8" w:rsidRDefault="00AD7E38"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Statement of conditions elsewhere in the Company</w:t>
      </w:r>
    </w:p>
    <w:p w14:paraId="661A3A0C" w14:textId="77777777" w:rsidR="00AD7E38" w:rsidRPr="00F929C8" w:rsidRDefault="00AD7E38"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Remuneration Committee will consider pay and employment conditions across the Company when reviewing the remuneration of the Executive Directors and other senior employees. In particular, the Remuneration Committee will consider the range of base pay increases across the Group as well as wider workforce remuneration and related policies.</w:t>
      </w:r>
    </w:p>
    <w:p w14:paraId="1731D37A" w14:textId="77777777" w:rsidR="00AD7E38" w:rsidRPr="00F929C8" w:rsidRDefault="00AD7E38" w:rsidP="00700E22">
      <w:pPr>
        <w:spacing w:after="120" w:line="360" w:lineRule="auto"/>
        <w:jc w:val="both"/>
        <w:textAlignment w:val="baseline"/>
        <w:rPr>
          <w:rFonts w:asciiTheme="minorHAnsi" w:eastAsia="Calibri" w:hAnsiTheme="minorHAnsi" w:cs="Arial"/>
          <w:i/>
          <w:color w:val="000000"/>
          <w:sz w:val="21"/>
          <w:szCs w:val="21"/>
        </w:rPr>
      </w:pPr>
      <w:r w:rsidRPr="00F929C8">
        <w:rPr>
          <w:rFonts w:asciiTheme="minorHAnsi" w:eastAsia="Calibri" w:hAnsiTheme="minorHAnsi" w:cs="Arial"/>
          <w:i/>
          <w:color w:val="000000"/>
          <w:sz w:val="21"/>
          <w:szCs w:val="21"/>
        </w:rPr>
        <w:t>Consideration of shareholder views</w:t>
      </w:r>
    </w:p>
    <w:p w14:paraId="538149B6" w14:textId="2C48097E" w:rsidR="00635C98" w:rsidRPr="00F929C8" w:rsidRDefault="00AD7E38"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Remuneration Committee will take the views of stakeholders, including shareholders, seriously and these views will be </w:t>
      </w:r>
      <w:proofErr w:type="gramStart"/>
      <w:r w:rsidRPr="00F929C8">
        <w:rPr>
          <w:rFonts w:asciiTheme="minorHAnsi" w:eastAsia="Calibri" w:hAnsiTheme="minorHAnsi" w:cs="Arial"/>
          <w:color w:val="000000"/>
          <w:sz w:val="21"/>
          <w:szCs w:val="21"/>
        </w:rPr>
        <w:t>taken into account</w:t>
      </w:r>
      <w:proofErr w:type="gramEnd"/>
      <w:r w:rsidRPr="00F929C8">
        <w:rPr>
          <w:rFonts w:asciiTheme="minorHAnsi" w:eastAsia="Calibri" w:hAnsiTheme="minorHAnsi" w:cs="Arial"/>
          <w:color w:val="000000"/>
          <w:sz w:val="21"/>
          <w:szCs w:val="21"/>
        </w:rPr>
        <w:t xml:space="preserve"> in shaping Policy and practice. Shareholder views will be</w:t>
      </w:r>
      <w:r w:rsidR="002E3A18" w:rsidRPr="00F929C8">
        <w:rPr>
          <w:rFonts w:asciiTheme="minorHAnsi" w:eastAsia="Calibri" w:hAnsiTheme="minorHAnsi" w:cs="Arial"/>
          <w:color w:val="000000"/>
          <w:sz w:val="21"/>
          <w:szCs w:val="21"/>
        </w:rPr>
        <w:t xml:space="preserve"> considered when evaluating and setting </w:t>
      </w:r>
      <w:proofErr w:type="gramStart"/>
      <w:r w:rsidR="002E3A18" w:rsidRPr="00F929C8">
        <w:rPr>
          <w:rFonts w:asciiTheme="minorHAnsi" w:eastAsia="Calibri" w:hAnsiTheme="minorHAnsi" w:cs="Arial"/>
          <w:color w:val="000000"/>
          <w:sz w:val="21"/>
          <w:szCs w:val="21"/>
        </w:rPr>
        <w:t>remuneration</w:t>
      </w:r>
      <w:proofErr w:type="gramEnd"/>
      <w:r w:rsidR="002E3A18" w:rsidRPr="00F929C8">
        <w:rPr>
          <w:rFonts w:asciiTheme="minorHAnsi" w:eastAsia="Calibri" w:hAnsiTheme="minorHAnsi" w:cs="Arial"/>
          <w:color w:val="000000"/>
          <w:sz w:val="21"/>
          <w:szCs w:val="21"/>
        </w:rPr>
        <w:t xml:space="preserve"> strategy and the Committee commits to consulting with key shareholders prior to any significant changes to its Policy.</w:t>
      </w:r>
    </w:p>
    <w:p w14:paraId="3CC784A5" w14:textId="77777777" w:rsidR="002E3A18" w:rsidRPr="00F929C8" w:rsidRDefault="002E3A18" w:rsidP="00700E22">
      <w:pPr>
        <w:spacing w:after="120" w:line="360" w:lineRule="auto"/>
        <w:jc w:val="both"/>
        <w:textAlignment w:val="baseline"/>
        <w:rPr>
          <w:rFonts w:asciiTheme="minorHAnsi" w:eastAsia="Calibri" w:hAnsiTheme="minorHAnsi" w:cs="Arial"/>
          <w:b/>
          <w:bCs/>
          <w:i/>
          <w:color w:val="000000"/>
          <w:sz w:val="21"/>
          <w:szCs w:val="21"/>
        </w:rPr>
      </w:pPr>
      <w:r w:rsidRPr="00F929C8">
        <w:rPr>
          <w:rFonts w:asciiTheme="minorHAnsi" w:eastAsia="Calibri" w:hAnsiTheme="minorHAnsi" w:cs="Arial"/>
          <w:b/>
          <w:bCs/>
          <w:i/>
          <w:color w:val="000000"/>
          <w:sz w:val="21"/>
          <w:szCs w:val="21"/>
        </w:rPr>
        <w:t>Non-Executive Directors</w:t>
      </w:r>
    </w:p>
    <w:p w14:paraId="4D386FCE" w14:textId="09F8419A" w:rsidR="002E3A18" w:rsidRPr="00F929C8" w:rsidRDefault="002E3A18"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Chair of the Board receives an all-inclusive fee of £</w:t>
      </w:r>
      <w:r w:rsidR="00E402B4" w:rsidRPr="00F929C8">
        <w:rPr>
          <w:rFonts w:asciiTheme="minorHAnsi" w:eastAsia="Calibri" w:hAnsiTheme="minorHAnsi" w:cs="Arial"/>
          <w:color w:val="000000"/>
          <w:sz w:val="21"/>
          <w:szCs w:val="21"/>
        </w:rPr>
        <w:t>250,000</w:t>
      </w:r>
      <w:r w:rsidRPr="00F929C8">
        <w:rPr>
          <w:rFonts w:asciiTheme="minorHAnsi" w:eastAsia="Calibri" w:hAnsiTheme="minorHAnsi" w:cs="Arial"/>
          <w:color w:val="000000"/>
          <w:sz w:val="21"/>
          <w:szCs w:val="21"/>
        </w:rPr>
        <w:t xml:space="preserve"> gross. </w:t>
      </w:r>
      <w:r w:rsidR="00EA542D" w:rsidRPr="00F929C8">
        <w:rPr>
          <w:rFonts w:asciiTheme="minorHAnsi" w:eastAsia="Calibri" w:hAnsiTheme="minorHAnsi" w:cs="Arial"/>
          <w:color w:val="000000"/>
          <w:sz w:val="21"/>
          <w:szCs w:val="21"/>
        </w:rPr>
        <w:t xml:space="preserve">Other </w:t>
      </w:r>
      <w:r w:rsidRPr="00F929C8">
        <w:rPr>
          <w:rFonts w:asciiTheme="minorHAnsi" w:eastAsia="Calibri" w:hAnsiTheme="minorHAnsi" w:cs="Arial"/>
          <w:color w:val="000000"/>
          <w:sz w:val="21"/>
          <w:szCs w:val="21"/>
        </w:rPr>
        <w:t>Non-Executive Directors</w:t>
      </w:r>
      <w:r w:rsidR="007801B0" w:rsidRPr="00F929C8">
        <w:rPr>
          <w:rFonts w:asciiTheme="minorHAnsi" w:eastAsia="Calibri" w:hAnsiTheme="minorHAnsi" w:cs="Arial"/>
          <w:color w:val="000000"/>
          <w:sz w:val="21"/>
          <w:szCs w:val="21"/>
        </w:rPr>
        <w:t xml:space="preserve"> (other than those </w:t>
      </w:r>
      <w:r w:rsidR="00367BD7" w:rsidRPr="00F929C8">
        <w:rPr>
          <w:rFonts w:asciiTheme="minorHAnsi" w:eastAsia="Calibri" w:hAnsiTheme="minorHAnsi" w:cs="Arial"/>
          <w:color w:val="000000"/>
          <w:sz w:val="21"/>
          <w:szCs w:val="21"/>
        </w:rPr>
        <w:t>nominated</w:t>
      </w:r>
      <w:r w:rsidR="007801B0" w:rsidRPr="00F929C8">
        <w:rPr>
          <w:rFonts w:asciiTheme="minorHAnsi" w:eastAsia="Calibri" w:hAnsiTheme="minorHAnsi" w:cs="Arial"/>
          <w:color w:val="000000"/>
          <w:sz w:val="21"/>
          <w:szCs w:val="21"/>
        </w:rPr>
        <w:t xml:space="preserve"> by the Company’s majority shareholder)</w:t>
      </w:r>
      <w:r w:rsidRPr="00F929C8">
        <w:rPr>
          <w:rFonts w:asciiTheme="minorHAnsi" w:eastAsia="Calibri" w:hAnsiTheme="minorHAnsi" w:cs="Arial"/>
          <w:color w:val="000000"/>
          <w:sz w:val="21"/>
          <w:szCs w:val="21"/>
        </w:rPr>
        <w:t xml:space="preserve"> are paid a base fee of £78,000 gross and the following additional fees:</w:t>
      </w:r>
    </w:p>
    <w:p w14:paraId="0925FEB7" w14:textId="6493921E" w:rsidR="002E3A18" w:rsidRPr="00F929C8" w:rsidRDefault="002E3A18" w:rsidP="00700E22">
      <w:pPr>
        <w:numPr>
          <w:ilvl w:val="0"/>
          <w:numId w:val="1"/>
        </w:numPr>
        <w:tabs>
          <w:tab w:val="left" w:pos="288"/>
        </w:tabs>
        <w:spacing w:after="120" w:line="360" w:lineRule="auto"/>
        <w:ind w:left="432" w:hanging="43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lastRenderedPageBreak/>
        <w:t>Membership of a Board Committee</w:t>
      </w:r>
      <w:r w:rsidR="00E402B4" w:rsidRPr="00F929C8">
        <w:rPr>
          <w:rFonts w:asciiTheme="minorHAnsi" w:eastAsia="Calibri" w:hAnsiTheme="minorHAnsi" w:cs="Arial"/>
          <w:color w:val="000000"/>
          <w:sz w:val="21"/>
          <w:szCs w:val="21"/>
        </w:rPr>
        <w:t xml:space="preserve"> (non-chair position only)</w:t>
      </w:r>
      <w:r w:rsidRPr="00F929C8">
        <w:rPr>
          <w:rFonts w:asciiTheme="minorHAnsi" w:eastAsia="Calibri" w:hAnsiTheme="minorHAnsi" w:cs="Arial"/>
          <w:color w:val="000000"/>
          <w:sz w:val="21"/>
          <w:szCs w:val="21"/>
        </w:rPr>
        <w:t xml:space="preserve">: £7,000 gross per annum per Board </w:t>
      </w:r>
      <w:proofErr w:type="gramStart"/>
      <w:r w:rsidRPr="00F929C8">
        <w:rPr>
          <w:rFonts w:asciiTheme="minorHAnsi" w:eastAsia="Calibri" w:hAnsiTheme="minorHAnsi" w:cs="Arial"/>
          <w:color w:val="000000"/>
          <w:sz w:val="21"/>
          <w:szCs w:val="21"/>
        </w:rPr>
        <w:t>Committee;</w:t>
      </w:r>
      <w:proofErr w:type="gramEnd"/>
      <w:r w:rsidRPr="00F929C8">
        <w:rPr>
          <w:rFonts w:asciiTheme="minorHAnsi" w:eastAsia="Calibri" w:hAnsiTheme="minorHAnsi" w:cs="Arial"/>
          <w:color w:val="000000"/>
          <w:sz w:val="21"/>
          <w:szCs w:val="21"/>
        </w:rPr>
        <w:t xml:space="preserve"> </w:t>
      </w:r>
    </w:p>
    <w:p w14:paraId="11A973E5" w14:textId="5CB4D841" w:rsidR="002E3A18" w:rsidRPr="00F929C8" w:rsidRDefault="002E3A18" w:rsidP="00700E22">
      <w:pPr>
        <w:numPr>
          <w:ilvl w:val="0"/>
          <w:numId w:val="1"/>
        </w:numPr>
        <w:tabs>
          <w:tab w:val="left" w:pos="288"/>
        </w:tabs>
        <w:spacing w:after="120" w:line="360" w:lineRule="auto"/>
        <w:ind w:left="432" w:hanging="432"/>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Chair of the Audit Committee: £28,000 gross per </w:t>
      </w:r>
      <w:proofErr w:type="gramStart"/>
      <w:r w:rsidRPr="00F929C8">
        <w:rPr>
          <w:rFonts w:asciiTheme="minorHAnsi" w:eastAsia="Calibri" w:hAnsiTheme="minorHAnsi" w:cs="Arial"/>
          <w:color w:val="000000"/>
          <w:sz w:val="21"/>
          <w:szCs w:val="21"/>
        </w:rPr>
        <w:t>annum;</w:t>
      </w:r>
      <w:proofErr w:type="gramEnd"/>
      <w:r w:rsidRPr="00F929C8">
        <w:rPr>
          <w:rFonts w:asciiTheme="minorHAnsi" w:eastAsia="Calibri" w:hAnsiTheme="minorHAnsi" w:cs="Arial"/>
          <w:color w:val="000000"/>
          <w:sz w:val="21"/>
          <w:szCs w:val="21"/>
        </w:rPr>
        <w:t xml:space="preserve"> </w:t>
      </w:r>
    </w:p>
    <w:p w14:paraId="25F21A63" w14:textId="41D98AD2" w:rsidR="002527A5" w:rsidRPr="00F929C8" w:rsidRDefault="002527A5" w:rsidP="00700E22">
      <w:pPr>
        <w:numPr>
          <w:ilvl w:val="0"/>
          <w:numId w:val="1"/>
        </w:numPr>
        <w:tabs>
          <w:tab w:val="left" w:pos="288"/>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Chair of the Remuneration Committee: £23,000 gross per </w:t>
      </w:r>
      <w:proofErr w:type="gramStart"/>
      <w:r w:rsidRPr="00F929C8">
        <w:rPr>
          <w:rFonts w:asciiTheme="minorHAnsi" w:eastAsia="Calibri" w:hAnsiTheme="minorHAnsi" w:cs="Arial"/>
          <w:color w:val="000000"/>
          <w:sz w:val="21"/>
          <w:szCs w:val="21"/>
        </w:rPr>
        <w:t>annum;</w:t>
      </w:r>
      <w:proofErr w:type="gramEnd"/>
    </w:p>
    <w:p w14:paraId="53EB0661" w14:textId="54DB7294" w:rsidR="002527A5" w:rsidRPr="00F929C8" w:rsidRDefault="002527A5" w:rsidP="00700E22">
      <w:pPr>
        <w:numPr>
          <w:ilvl w:val="0"/>
          <w:numId w:val="1"/>
        </w:numPr>
        <w:tabs>
          <w:tab w:val="left" w:pos="288"/>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Chair of the Nomination Committee: £18,000 gross per annum; and</w:t>
      </w:r>
    </w:p>
    <w:p w14:paraId="7A609CD6" w14:textId="5E1E594B" w:rsidR="002527A5" w:rsidRPr="00F929C8" w:rsidRDefault="002527A5" w:rsidP="00700E22">
      <w:pPr>
        <w:numPr>
          <w:ilvl w:val="0"/>
          <w:numId w:val="1"/>
        </w:numPr>
        <w:tabs>
          <w:tab w:val="left" w:pos="288"/>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Senior Independent Director</w:t>
      </w:r>
      <w:r w:rsidR="00E402B4" w:rsidRPr="00F929C8">
        <w:rPr>
          <w:rFonts w:asciiTheme="minorHAnsi" w:eastAsia="Calibri" w:hAnsiTheme="minorHAnsi" w:cs="Arial"/>
          <w:color w:val="000000"/>
          <w:sz w:val="21"/>
          <w:szCs w:val="21"/>
        </w:rPr>
        <w:t xml:space="preserve"> and/or Vice-Chair</w:t>
      </w:r>
      <w:r w:rsidRPr="00F929C8">
        <w:rPr>
          <w:rFonts w:asciiTheme="minorHAnsi" w:eastAsia="Calibri" w:hAnsiTheme="minorHAnsi" w:cs="Arial"/>
          <w:color w:val="000000"/>
          <w:sz w:val="21"/>
          <w:szCs w:val="21"/>
        </w:rPr>
        <w:t>: £18,000 gross per annum.</w:t>
      </w:r>
    </w:p>
    <w:p w14:paraId="676DC9A2" w14:textId="3E9D644F" w:rsidR="002527A5" w:rsidRPr="00F929C8" w:rsidRDefault="002527A5" w:rsidP="00700E22">
      <w:pPr>
        <w:tabs>
          <w:tab w:val="left" w:pos="288"/>
          <w:tab w:val="left" w:pos="360"/>
        </w:tabs>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The fees for the Chair of the Board, Non-Executive Directors, members and Chairs of Board Committees and the Senior Independent Director will be subject to annual review providing for increases normally up to the increase for the workforce but with the Board retaining the discretion to increase fees above this rate where appropriate (for example a material change to the scope of the role), or where the fee is out of line with market levels.</w:t>
      </w:r>
    </w:p>
    <w:p w14:paraId="417054A4" w14:textId="77777777" w:rsidR="007163E9" w:rsidRPr="00F929C8" w:rsidRDefault="007163E9"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Reasonable expenses incurred in carrying out their duties may be reimbursed including any personal income tax payable by the Non-Executive Directors because of reimbursement of those expenses. Fees are reviewed periodically.</w:t>
      </w:r>
    </w:p>
    <w:p w14:paraId="427E39C4" w14:textId="092A4F10" w:rsidR="00C279AD" w:rsidRPr="00F929C8" w:rsidRDefault="00C279AD" w:rsidP="00700E22">
      <w:pPr>
        <w:spacing w:after="120" w:line="360" w:lineRule="auto"/>
        <w:jc w:val="both"/>
        <w:textAlignment w:val="baseline"/>
        <w:rPr>
          <w:rFonts w:asciiTheme="minorHAnsi" w:eastAsia="Calibri" w:hAnsiTheme="minorHAnsi" w:cs="Arial"/>
          <w:i/>
          <w:iCs/>
          <w:color w:val="000000"/>
          <w:sz w:val="21"/>
          <w:szCs w:val="21"/>
        </w:rPr>
      </w:pPr>
      <w:r w:rsidRPr="00F929C8">
        <w:rPr>
          <w:rFonts w:asciiTheme="minorHAnsi" w:eastAsia="Calibri" w:hAnsiTheme="minorHAnsi" w:cs="Arial"/>
          <w:i/>
          <w:iCs/>
          <w:color w:val="000000"/>
          <w:sz w:val="21"/>
          <w:szCs w:val="21"/>
        </w:rPr>
        <w:t>Non-Executive Equity Plan</w:t>
      </w:r>
    </w:p>
    <w:p w14:paraId="68AC1254" w14:textId="62A0EC9B" w:rsidR="00635C98" w:rsidRPr="00F929C8" w:rsidRDefault="00C279AD" w:rsidP="00700E22">
      <w:pPr>
        <w:spacing w:after="120" w:line="360" w:lineRule="auto"/>
        <w:jc w:val="both"/>
        <w:textAlignment w:val="baseline"/>
        <w:rPr>
          <w:rFonts w:asciiTheme="minorHAnsi" w:eastAsia="Calibri" w:hAnsiTheme="minorHAnsi" w:cs="Arial"/>
          <w:color w:val="000000"/>
          <w:sz w:val="21"/>
          <w:szCs w:val="21"/>
        </w:rPr>
      </w:pPr>
      <w:r w:rsidRPr="00F929C8">
        <w:rPr>
          <w:rFonts w:asciiTheme="minorHAnsi" w:eastAsia="Calibri" w:hAnsiTheme="minorHAnsi" w:cs="Arial"/>
          <w:color w:val="000000"/>
          <w:sz w:val="21"/>
          <w:szCs w:val="21"/>
        </w:rPr>
        <w:t xml:space="preserve">The 2025 Pepco Non-Executive Equity Plan is proposed to be introduced </w:t>
      </w:r>
      <w:r w:rsidR="00F76D09" w:rsidRPr="00F929C8">
        <w:rPr>
          <w:rFonts w:asciiTheme="minorHAnsi" w:eastAsia="Calibri" w:hAnsiTheme="minorHAnsi" w:cs="Arial"/>
          <w:color w:val="000000"/>
          <w:sz w:val="21"/>
          <w:szCs w:val="21"/>
        </w:rPr>
        <w:t>following the 2025 AGM</w:t>
      </w:r>
      <w:r w:rsidRPr="00F929C8">
        <w:rPr>
          <w:rFonts w:asciiTheme="minorHAnsi" w:eastAsia="Calibri" w:hAnsiTheme="minorHAnsi" w:cs="Arial"/>
          <w:color w:val="000000"/>
          <w:sz w:val="21"/>
          <w:szCs w:val="21"/>
        </w:rPr>
        <w:t xml:space="preserve"> to </w:t>
      </w:r>
      <w:r w:rsidR="007D42C0" w:rsidRPr="00F929C8">
        <w:rPr>
          <w:rFonts w:asciiTheme="minorHAnsi" w:eastAsia="Calibri" w:hAnsiTheme="minorHAnsi" w:cs="Arial"/>
          <w:color w:val="000000"/>
          <w:sz w:val="21"/>
          <w:szCs w:val="21"/>
        </w:rPr>
        <w:t xml:space="preserve">grant </w:t>
      </w:r>
      <w:r w:rsidR="00367BD7" w:rsidRPr="00F929C8">
        <w:rPr>
          <w:rFonts w:asciiTheme="minorHAnsi" w:eastAsia="Calibri" w:hAnsiTheme="minorHAnsi" w:cs="Arial"/>
          <w:color w:val="000000"/>
          <w:sz w:val="21"/>
          <w:szCs w:val="21"/>
        </w:rPr>
        <w:t>awards</w:t>
      </w:r>
      <w:r w:rsidR="007D42C0" w:rsidRPr="00F929C8">
        <w:rPr>
          <w:rFonts w:asciiTheme="minorHAnsi" w:eastAsia="Calibri" w:hAnsiTheme="minorHAnsi" w:cs="Arial"/>
          <w:color w:val="000000"/>
          <w:sz w:val="21"/>
          <w:szCs w:val="21"/>
        </w:rPr>
        <w:t xml:space="preserve"> over shares </w:t>
      </w:r>
      <w:r w:rsidR="00367BD7" w:rsidRPr="00F929C8">
        <w:rPr>
          <w:rFonts w:asciiTheme="minorHAnsi" w:eastAsia="Calibri" w:hAnsiTheme="minorHAnsi" w:cs="Arial"/>
          <w:color w:val="000000"/>
          <w:sz w:val="21"/>
          <w:szCs w:val="21"/>
        </w:rPr>
        <w:t xml:space="preserve">(normally in the form of RSUs or options) </w:t>
      </w:r>
      <w:r w:rsidR="007D42C0" w:rsidRPr="00F929C8">
        <w:rPr>
          <w:rFonts w:asciiTheme="minorHAnsi" w:eastAsia="Calibri" w:hAnsiTheme="minorHAnsi" w:cs="Arial"/>
          <w:color w:val="000000"/>
          <w:sz w:val="21"/>
          <w:szCs w:val="21"/>
        </w:rPr>
        <w:t>to</w:t>
      </w:r>
      <w:r w:rsidRPr="00F929C8">
        <w:rPr>
          <w:rFonts w:asciiTheme="minorHAnsi" w:eastAsia="Calibri" w:hAnsiTheme="minorHAnsi" w:cs="Arial"/>
          <w:color w:val="000000"/>
          <w:sz w:val="21"/>
          <w:szCs w:val="21"/>
        </w:rPr>
        <w:t xml:space="preserve"> Non-Executive Directors </w:t>
      </w:r>
      <w:r w:rsidR="007D42C0" w:rsidRPr="00F929C8">
        <w:rPr>
          <w:rFonts w:asciiTheme="minorHAnsi" w:eastAsia="Calibri" w:hAnsiTheme="minorHAnsi" w:cs="Arial"/>
          <w:color w:val="000000"/>
          <w:sz w:val="21"/>
          <w:szCs w:val="21"/>
        </w:rPr>
        <w:t xml:space="preserve">who are not </w:t>
      </w:r>
      <w:r w:rsidR="00367BD7" w:rsidRPr="00F929C8">
        <w:rPr>
          <w:rFonts w:asciiTheme="minorHAnsi" w:eastAsia="Calibri" w:hAnsiTheme="minorHAnsi" w:cs="Arial"/>
          <w:color w:val="000000"/>
          <w:sz w:val="21"/>
          <w:szCs w:val="21"/>
        </w:rPr>
        <w:t>nominated</w:t>
      </w:r>
      <w:r w:rsidR="007D42C0" w:rsidRPr="00F929C8">
        <w:rPr>
          <w:rFonts w:asciiTheme="minorHAnsi" w:eastAsia="Calibri" w:hAnsiTheme="minorHAnsi" w:cs="Arial"/>
          <w:color w:val="000000"/>
          <w:sz w:val="21"/>
          <w:szCs w:val="21"/>
        </w:rPr>
        <w:t xml:space="preserve"> by the Company’s majority shareholder</w:t>
      </w:r>
      <w:r w:rsidRPr="00F929C8">
        <w:rPr>
          <w:rFonts w:asciiTheme="minorHAnsi" w:eastAsia="Calibri" w:hAnsiTheme="minorHAnsi" w:cs="Arial"/>
          <w:color w:val="000000"/>
          <w:sz w:val="21"/>
          <w:szCs w:val="21"/>
        </w:rPr>
        <w:t>.</w:t>
      </w:r>
      <w:r w:rsidR="007D42C0" w:rsidRPr="00F929C8">
        <w:rPr>
          <w:rFonts w:asciiTheme="minorHAnsi" w:eastAsia="Calibri" w:hAnsiTheme="minorHAnsi" w:cs="Arial"/>
          <w:color w:val="000000"/>
          <w:sz w:val="21"/>
          <w:szCs w:val="21"/>
        </w:rPr>
        <w:t xml:space="preserve"> An award will normally </w:t>
      </w:r>
      <w:proofErr w:type="gramStart"/>
      <w:r w:rsidR="007D42C0" w:rsidRPr="00F929C8">
        <w:rPr>
          <w:rFonts w:asciiTheme="minorHAnsi" w:eastAsia="Calibri" w:hAnsiTheme="minorHAnsi" w:cs="Arial"/>
          <w:color w:val="000000"/>
          <w:sz w:val="21"/>
          <w:szCs w:val="21"/>
        </w:rPr>
        <w:t xml:space="preserve">vest </w:t>
      </w:r>
      <w:r w:rsidR="00DA6184" w:rsidRPr="00F929C8">
        <w:rPr>
          <w:rFonts w:asciiTheme="minorHAnsi" w:eastAsia="Calibri" w:hAnsiTheme="minorHAnsi" w:cs="Arial"/>
          <w:color w:val="000000"/>
          <w:sz w:val="21"/>
          <w:szCs w:val="21"/>
        </w:rPr>
        <w:t>conditional</w:t>
      </w:r>
      <w:proofErr w:type="gramEnd"/>
      <w:r w:rsidR="00DA6184" w:rsidRPr="00F929C8">
        <w:rPr>
          <w:rFonts w:asciiTheme="minorHAnsi" w:eastAsia="Calibri" w:hAnsiTheme="minorHAnsi" w:cs="Arial"/>
          <w:color w:val="000000"/>
          <w:sz w:val="21"/>
          <w:szCs w:val="21"/>
        </w:rPr>
        <w:t xml:space="preserve"> upon continued service </w:t>
      </w:r>
      <w:r w:rsidR="007D42C0" w:rsidRPr="00F929C8">
        <w:rPr>
          <w:rFonts w:asciiTheme="minorHAnsi" w:eastAsia="Calibri" w:hAnsiTheme="minorHAnsi" w:cs="Arial"/>
          <w:color w:val="000000"/>
          <w:sz w:val="21"/>
          <w:szCs w:val="21"/>
        </w:rPr>
        <w:t xml:space="preserve">in equal instalments on </w:t>
      </w:r>
      <w:r w:rsidR="00DA6184" w:rsidRPr="00F929C8">
        <w:rPr>
          <w:rFonts w:asciiTheme="minorHAnsi" w:eastAsia="Calibri" w:hAnsiTheme="minorHAnsi" w:cs="Arial"/>
          <w:color w:val="000000"/>
          <w:sz w:val="21"/>
          <w:szCs w:val="21"/>
        </w:rPr>
        <w:t xml:space="preserve">the date of </w:t>
      </w:r>
      <w:r w:rsidR="007D42C0" w:rsidRPr="00F929C8">
        <w:rPr>
          <w:rFonts w:asciiTheme="minorHAnsi" w:eastAsia="Calibri" w:hAnsiTheme="minorHAnsi" w:cs="Arial"/>
          <w:color w:val="000000"/>
          <w:sz w:val="21"/>
          <w:szCs w:val="21"/>
        </w:rPr>
        <w:t xml:space="preserve">each of the first, second and third AGM following the grant date. Awards will not be subject to any performance conditions. </w:t>
      </w:r>
      <w:r w:rsidR="0031792D" w:rsidRPr="00F929C8">
        <w:rPr>
          <w:rFonts w:asciiTheme="minorHAnsi" w:eastAsia="Calibri" w:hAnsiTheme="minorHAnsi" w:cs="Arial"/>
          <w:color w:val="000000"/>
          <w:sz w:val="21"/>
          <w:szCs w:val="21"/>
        </w:rPr>
        <w:t xml:space="preserve">At the date of grant, the Board may determine whether to impose a post-vesting holding period. </w:t>
      </w:r>
      <w:r w:rsidR="007D42C0" w:rsidRPr="00F929C8">
        <w:rPr>
          <w:rFonts w:asciiTheme="minorHAnsi" w:eastAsia="Calibri" w:hAnsiTheme="minorHAnsi" w:cs="Arial"/>
          <w:color w:val="000000"/>
          <w:sz w:val="21"/>
          <w:szCs w:val="21"/>
        </w:rPr>
        <w:t xml:space="preserve">The Board may grant awards </w:t>
      </w:r>
      <w:r w:rsidR="00172033" w:rsidRPr="00F929C8">
        <w:rPr>
          <w:rFonts w:asciiTheme="minorHAnsi" w:eastAsia="Calibri" w:hAnsiTheme="minorHAnsi" w:cs="Arial"/>
          <w:color w:val="000000"/>
          <w:sz w:val="21"/>
          <w:szCs w:val="21"/>
        </w:rPr>
        <w:t xml:space="preserve">of </w:t>
      </w:r>
      <w:r w:rsidR="007D42C0" w:rsidRPr="00F929C8">
        <w:rPr>
          <w:rFonts w:asciiTheme="minorHAnsi" w:eastAsia="Calibri" w:hAnsiTheme="minorHAnsi" w:cs="Arial"/>
          <w:color w:val="000000"/>
          <w:sz w:val="21"/>
          <w:szCs w:val="21"/>
        </w:rPr>
        <w:t>up to €1 million in</w:t>
      </w:r>
      <w:r w:rsidR="00172033" w:rsidRPr="00F929C8">
        <w:rPr>
          <w:rFonts w:asciiTheme="minorHAnsi" w:eastAsia="Calibri" w:hAnsiTheme="minorHAnsi" w:cs="Arial"/>
          <w:color w:val="000000"/>
          <w:sz w:val="21"/>
          <w:szCs w:val="21"/>
        </w:rPr>
        <w:t xml:space="preserve"> aggregate</w:t>
      </w:r>
      <w:r w:rsidR="007D42C0" w:rsidRPr="00F929C8">
        <w:rPr>
          <w:rFonts w:asciiTheme="minorHAnsi" w:eastAsia="Calibri" w:hAnsiTheme="minorHAnsi" w:cs="Arial"/>
          <w:color w:val="000000"/>
          <w:sz w:val="21"/>
          <w:szCs w:val="21"/>
        </w:rPr>
        <w:t xml:space="preserve"> grant date value to any </w:t>
      </w:r>
      <w:proofErr w:type="gramStart"/>
      <w:r w:rsidR="007D42C0" w:rsidRPr="00F929C8">
        <w:rPr>
          <w:rFonts w:asciiTheme="minorHAnsi" w:eastAsia="Calibri" w:hAnsiTheme="minorHAnsi" w:cs="Arial"/>
          <w:color w:val="000000"/>
          <w:sz w:val="21"/>
          <w:szCs w:val="21"/>
        </w:rPr>
        <w:t>particular Non-</w:t>
      </w:r>
      <w:proofErr w:type="gramEnd"/>
      <w:r w:rsidR="007D42C0" w:rsidRPr="00F929C8">
        <w:rPr>
          <w:rFonts w:asciiTheme="minorHAnsi" w:eastAsia="Calibri" w:hAnsiTheme="minorHAnsi" w:cs="Arial"/>
          <w:color w:val="000000"/>
          <w:sz w:val="21"/>
          <w:szCs w:val="21"/>
        </w:rPr>
        <w:t xml:space="preserve">Executive Director. </w:t>
      </w:r>
      <w:r w:rsidR="0031792D" w:rsidRPr="00F929C8">
        <w:rPr>
          <w:rFonts w:asciiTheme="minorHAnsi" w:eastAsia="Calibri" w:hAnsiTheme="minorHAnsi" w:cs="Arial"/>
          <w:color w:val="000000"/>
          <w:sz w:val="21"/>
          <w:szCs w:val="21"/>
        </w:rPr>
        <w:t>If a Non-</w:t>
      </w:r>
      <w:r w:rsidR="00E402B4" w:rsidRPr="00F929C8">
        <w:rPr>
          <w:rFonts w:asciiTheme="minorHAnsi" w:eastAsia="Calibri" w:hAnsiTheme="minorHAnsi" w:cs="Arial"/>
          <w:color w:val="000000"/>
          <w:sz w:val="21"/>
          <w:szCs w:val="21"/>
        </w:rPr>
        <w:t>E</w:t>
      </w:r>
      <w:r w:rsidR="0031792D" w:rsidRPr="00F929C8">
        <w:rPr>
          <w:rFonts w:asciiTheme="minorHAnsi" w:eastAsia="Calibri" w:hAnsiTheme="minorHAnsi" w:cs="Arial"/>
          <w:color w:val="000000"/>
          <w:sz w:val="21"/>
          <w:szCs w:val="21"/>
        </w:rPr>
        <w:t xml:space="preserve">xecutive Director leaves as a non-approved leaver (generally if they resign from the Company without the Board’s consent or if the Director’s appointment is terminated for misconduct), any unvested award will lapse.  If a Non-Executive Director ceases to be a Director of the Company before the award vests in other circumstances, they will generally be entitled to retain a pro-rata award. </w:t>
      </w:r>
    </w:p>
    <w:p w14:paraId="294F55BF" w14:textId="77777777" w:rsidR="0031792D" w:rsidRPr="00F929C8" w:rsidRDefault="0031792D" w:rsidP="0031792D">
      <w:pPr>
        <w:spacing w:after="120" w:line="360" w:lineRule="auto"/>
        <w:jc w:val="both"/>
        <w:textAlignment w:val="baseline"/>
        <w:rPr>
          <w:rFonts w:asciiTheme="minorHAnsi" w:eastAsia="Calibri" w:hAnsiTheme="minorHAnsi" w:cs="Arial"/>
          <w:i/>
          <w:iCs/>
          <w:color w:val="000000"/>
          <w:sz w:val="21"/>
          <w:szCs w:val="21"/>
          <w:lang w:val="en-GB"/>
        </w:rPr>
      </w:pPr>
      <w:r w:rsidRPr="00F929C8">
        <w:rPr>
          <w:rFonts w:asciiTheme="minorHAnsi" w:eastAsia="Calibri" w:hAnsiTheme="minorHAnsi" w:cs="Arial"/>
          <w:i/>
          <w:iCs/>
          <w:color w:val="000000"/>
          <w:sz w:val="21"/>
          <w:szCs w:val="21"/>
          <w:lang w:val="en-GB"/>
        </w:rPr>
        <w:t>Severance arrangements</w:t>
      </w:r>
    </w:p>
    <w:p w14:paraId="63995547" w14:textId="338D200E" w:rsidR="0031792D" w:rsidRPr="00F929C8" w:rsidRDefault="0031792D" w:rsidP="0031792D">
      <w:pPr>
        <w:spacing w:after="120" w:line="360" w:lineRule="auto"/>
        <w:jc w:val="both"/>
        <w:textAlignment w:val="baseline"/>
        <w:rPr>
          <w:rFonts w:asciiTheme="minorHAnsi" w:eastAsia="Calibri" w:hAnsiTheme="minorHAnsi" w:cs="Arial"/>
          <w:color w:val="000000"/>
          <w:sz w:val="21"/>
          <w:szCs w:val="21"/>
          <w:lang w:val="en-GB"/>
        </w:rPr>
      </w:pPr>
      <w:r w:rsidRPr="00F929C8">
        <w:rPr>
          <w:rFonts w:asciiTheme="minorHAnsi" w:eastAsia="Calibri" w:hAnsiTheme="minorHAnsi" w:cs="Arial"/>
          <w:color w:val="000000"/>
          <w:sz w:val="21"/>
          <w:szCs w:val="21"/>
          <w:lang w:val="en-GB"/>
        </w:rPr>
        <w:t xml:space="preserve">The Chair of the Board and other Non-Executive Directors (other than those </w:t>
      </w:r>
      <w:r w:rsidR="00367BD7" w:rsidRPr="00F929C8">
        <w:rPr>
          <w:rFonts w:asciiTheme="minorHAnsi" w:eastAsia="Calibri" w:hAnsiTheme="minorHAnsi" w:cs="Arial"/>
          <w:color w:val="000000"/>
          <w:sz w:val="21"/>
          <w:szCs w:val="21"/>
          <w:lang w:val="en-GB"/>
        </w:rPr>
        <w:t>nominated</w:t>
      </w:r>
      <w:r w:rsidRPr="00F929C8">
        <w:rPr>
          <w:rFonts w:asciiTheme="minorHAnsi" w:eastAsia="Calibri" w:hAnsiTheme="minorHAnsi" w:cs="Arial"/>
          <w:color w:val="000000"/>
          <w:sz w:val="21"/>
          <w:szCs w:val="21"/>
          <w:lang w:val="en-GB"/>
        </w:rPr>
        <w:t xml:space="preserve"> by the Company’s majority shareholder) have letters of appointment with an initial three-year term or such other term as considered appropriate. The letters of appointment may require up to six months' notice of termination by either party. The Company may, at its sole discretion, make a payment in lieu of notice equivalent to base salary for the duration of the notice period.  </w:t>
      </w:r>
    </w:p>
    <w:p w14:paraId="0D6C002E" w14:textId="74BE188F" w:rsidR="007163E9" w:rsidRPr="00D9670D" w:rsidRDefault="007163E9" w:rsidP="00700E22">
      <w:pPr>
        <w:spacing w:after="120" w:line="360" w:lineRule="auto"/>
        <w:jc w:val="both"/>
        <w:textAlignment w:val="baseline"/>
        <w:rPr>
          <w:rFonts w:ascii="Arial" w:eastAsia="Calibri" w:hAnsi="Arial" w:cs="Arial"/>
          <w:color w:val="000000"/>
        </w:rPr>
      </w:pPr>
    </w:p>
    <w:p w14:paraId="7119A283" w14:textId="27A108DD" w:rsidR="004C2714" w:rsidRPr="00D9670D" w:rsidRDefault="004C2714" w:rsidP="004C2714">
      <w:pPr>
        <w:tabs>
          <w:tab w:val="left" w:pos="288"/>
        </w:tabs>
        <w:spacing w:after="120" w:line="360" w:lineRule="auto"/>
        <w:jc w:val="both"/>
        <w:textAlignment w:val="baseline"/>
        <w:rPr>
          <w:rFonts w:ascii="Arial" w:eastAsia="Calibri" w:hAnsi="Arial" w:cs="Arial"/>
          <w:color w:val="000000"/>
        </w:rPr>
      </w:pPr>
    </w:p>
    <w:p w14:paraId="3E7DD911" w14:textId="77777777" w:rsidR="00905167" w:rsidRPr="00D9670D" w:rsidRDefault="00905167" w:rsidP="00700E22">
      <w:pPr>
        <w:tabs>
          <w:tab w:val="left" w:pos="288"/>
        </w:tabs>
        <w:spacing w:after="120" w:line="360" w:lineRule="auto"/>
        <w:jc w:val="both"/>
        <w:textAlignment w:val="baseline"/>
        <w:rPr>
          <w:rFonts w:ascii="Arial" w:eastAsia="Calibri" w:hAnsi="Arial" w:cs="Arial"/>
          <w:color w:val="000000"/>
        </w:rPr>
      </w:pPr>
    </w:p>
    <w:p w14:paraId="27949E37" w14:textId="77777777" w:rsidR="007163E9" w:rsidRPr="00D9670D" w:rsidRDefault="007163E9" w:rsidP="00700E22">
      <w:pPr>
        <w:tabs>
          <w:tab w:val="left" w:pos="288"/>
          <w:tab w:val="left" w:pos="360"/>
        </w:tabs>
        <w:spacing w:after="120" w:line="360" w:lineRule="auto"/>
        <w:jc w:val="both"/>
        <w:textAlignment w:val="baseline"/>
        <w:rPr>
          <w:rFonts w:ascii="Arial" w:eastAsia="Calibri" w:hAnsi="Arial" w:cs="Arial"/>
          <w:color w:val="000000"/>
        </w:rPr>
      </w:pPr>
    </w:p>
    <w:p w14:paraId="43D8BC2F" w14:textId="77777777" w:rsidR="007C0855" w:rsidRPr="00D9670D" w:rsidRDefault="007C0855" w:rsidP="00700E22">
      <w:pPr>
        <w:spacing w:after="120" w:line="360" w:lineRule="auto"/>
        <w:jc w:val="both"/>
        <w:textAlignment w:val="baseline"/>
        <w:rPr>
          <w:rFonts w:ascii="Arial" w:eastAsia="Calibri" w:hAnsi="Arial" w:cs="Arial"/>
          <w:color w:val="000000"/>
        </w:rPr>
      </w:pPr>
    </w:p>
    <w:p w14:paraId="6C1159ED" w14:textId="77777777" w:rsidR="007B233B" w:rsidRPr="00D9670D" w:rsidRDefault="007B233B" w:rsidP="00700E22">
      <w:pPr>
        <w:spacing w:after="120" w:line="360" w:lineRule="auto"/>
        <w:jc w:val="both"/>
        <w:textAlignment w:val="baseline"/>
        <w:rPr>
          <w:rFonts w:ascii="Arial" w:eastAsia="Calibri" w:hAnsi="Arial" w:cs="Arial"/>
          <w:color w:val="000000"/>
        </w:rPr>
      </w:pPr>
    </w:p>
    <w:p w14:paraId="1F6D4BEE" w14:textId="366AB955" w:rsidR="00F605E0" w:rsidRPr="00D9670D" w:rsidRDefault="00F605E0" w:rsidP="00700E22">
      <w:pPr>
        <w:spacing w:after="120" w:line="360" w:lineRule="auto"/>
        <w:jc w:val="both"/>
        <w:textAlignment w:val="baseline"/>
        <w:rPr>
          <w:rFonts w:ascii="Arial" w:eastAsia="Calibri" w:hAnsi="Arial" w:cs="Arial"/>
          <w:color w:val="000000"/>
          <w:spacing w:val="-2"/>
        </w:rPr>
      </w:pPr>
    </w:p>
    <w:p w14:paraId="12BE44C5" w14:textId="77777777" w:rsidR="00C43C4F" w:rsidRPr="00D9670D" w:rsidRDefault="00C43C4F" w:rsidP="00700E22">
      <w:pPr>
        <w:tabs>
          <w:tab w:val="left" w:pos="288"/>
          <w:tab w:val="left" w:pos="360"/>
        </w:tabs>
        <w:spacing w:after="120" w:line="360" w:lineRule="auto"/>
        <w:jc w:val="both"/>
        <w:textAlignment w:val="baseline"/>
        <w:rPr>
          <w:rFonts w:ascii="Arial" w:eastAsia="Calibri" w:hAnsi="Arial" w:cs="Arial"/>
          <w:color w:val="000000"/>
        </w:rPr>
      </w:pPr>
    </w:p>
    <w:p w14:paraId="6F6FB39D" w14:textId="77777777" w:rsidR="00370C4F" w:rsidRPr="00D9670D" w:rsidRDefault="00370C4F" w:rsidP="00700E22">
      <w:pPr>
        <w:spacing w:after="120" w:line="360" w:lineRule="auto"/>
        <w:jc w:val="both"/>
        <w:rPr>
          <w:rFonts w:ascii="Arial" w:eastAsia="Calibri" w:hAnsi="Arial" w:cs="Arial"/>
          <w:color w:val="000000"/>
        </w:rPr>
      </w:pPr>
    </w:p>
    <w:p w14:paraId="347330DF" w14:textId="77777777" w:rsidR="00380C3E" w:rsidRPr="00D9670D" w:rsidRDefault="00380C3E" w:rsidP="00700E22">
      <w:pPr>
        <w:spacing w:after="120" w:line="360" w:lineRule="auto"/>
        <w:jc w:val="both"/>
        <w:rPr>
          <w:rFonts w:ascii="Arial" w:eastAsia="Calibri" w:hAnsi="Arial" w:cs="Arial"/>
          <w:color w:val="000000"/>
        </w:rPr>
      </w:pPr>
    </w:p>
    <w:p w14:paraId="5E1DCD18" w14:textId="77777777" w:rsidR="00380C3E" w:rsidRPr="00D9670D" w:rsidRDefault="00380C3E" w:rsidP="00700E22">
      <w:pPr>
        <w:spacing w:after="120"/>
        <w:jc w:val="both"/>
        <w:rPr>
          <w:rFonts w:ascii="Arial" w:hAnsi="Arial" w:cs="Arial"/>
        </w:rPr>
      </w:pPr>
    </w:p>
    <w:sectPr w:rsidR="00380C3E" w:rsidRPr="00D9670D">
      <w:headerReference w:type="default"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8BDA" w14:textId="77777777" w:rsidR="00DF52E1" w:rsidRDefault="00DF52E1" w:rsidP="0016006F">
      <w:r>
        <w:separator/>
      </w:r>
    </w:p>
  </w:endnote>
  <w:endnote w:type="continuationSeparator" w:id="0">
    <w:p w14:paraId="544706A1" w14:textId="77777777" w:rsidR="00DF52E1" w:rsidRDefault="00DF52E1" w:rsidP="0016006F">
      <w:r>
        <w:continuationSeparator/>
      </w:r>
    </w:p>
  </w:endnote>
  <w:endnote w:type="continuationNotice" w:id="1">
    <w:p w14:paraId="08A53DE6" w14:textId="77777777" w:rsidR="00DF52E1" w:rsidRDefault="00DF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8833" w14:textId="08256442" w:rsidR="00CB4266" w:rsidRDefault="00CB4266" w:rsidP="00EC114D">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A6F9" w14:textId="77777777" w:rsidR="00CB4266" w:rsidRDefault="00000000" w:rsidP="00EC114D">
    <w:pPr>
      <w:pStyle w:val="Footer"/>
      <w:spacing w:line="20" w:lineRule="exact"/>
    </w:pPr>
    <w:r>
      <w:rPr>
        <w:noProof/>
        <w:lang w:eastAsia="en-GB"/>
      </w:rPr>
      <w:pict w14:anchorId="512DC760">
        <v:shapetype id="_x0000_t202" coordsize="21600,21600" o:spt="202" path="m,l,21600r21600,l21600,xe">
          <v:stroke joinstyle="miter"/>
          <v:path gradientshapeok="t" o:connecttype="rect"/>
        </v:shapetype>
        <v:shape id="Text Box 1" o:spid="_x0000_s1026" type="#_x0000_t202" style="position:absolute;margin-left:0;margin-top:-9.95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" filled="f" stroked="f">
          <o:lock v:ext="edit" aspectratio="t" verticies="t" text="t" shapetype="t"/>
          <v:textbox inset="0,0,0,0">
            <w:txbxContent>
              <w:p w14:paraId="65CC353B" w14:textId="3E152BE3" w:rsidR="00CB4266" w:rsidRDefault="00C14956">
                <w:pPr>
                  <w:pStyle w:val="MacPacTrailer"/>
                </w:pPr>
                <w:fldSimple w:instr=" DOCPROPERTY  docId ">
                  <w:r>
                    <w:t>EUROPE-LEGAL-299283368</w:t>
                  </w:r>
                </w:fldSimple>
                <w:r w:rsidR="00CB4266">
                  <w:fldChar w:fldCharType="begin"/>
                </w:r>
                <w:r w:rsidR="00CB4266">
                  <w:instrText xml:space="preserve"> IF </w:instrText>
                </w:r>
                <w:fldSimple w:instr=" DOCPROPERTY  docIncludeVersion ">
                  <w:r>
                    <w:instrText>true</w:instrText>
                  </w:r>
                </w:fldSimple>
                <w:r w:rsidR="00CB4266">
                  <w:instrText xml:space="preserve"> = true "/</w:instrText>
                </w:r>
                <w:fldSimple w:instr=" DOCPROPERTY  docVersion ">
                  <w:r>
                    <w:instrText>9</w:instrText>
                  </w:r>
                </w:fldSimple>
                <w:r w:rsidR="00CB4266">
                  <w:instrText>"</w:instrText>
                </w:r>
                <w:r w:rsidR="00CB4266">
                  <w:fldChar w:fldCharType="separate"/>
                </w:r>
                <w:r>
                  <w:rPr>
                    <w:noProof/>
                  </w:rPr>
                  <w:t>/9</w:t>
                </w:r>
                <w:r w:rsidR="00CB4266">
                  <w:fldChar w:fldCharType="end"/>
                </w:r>
                <w:r w:rsidR="00CB4266">
                  <w:t xml:space="preserve">   </w:t>
                </w:r>
                <w:r w:rsidR="00CB4266">
                  <w:fldChar w:fldCharType="begin"/>
                </w:r>
                <w:r w:rsidR="00CB4266">
                  <w:instrText xml:space="preserve"> IF </w:instrText>
                </w:r>
                <w:fldSimple w:instr=" DOCPROPERTY  docIncludeCliMat ">
                  <w:r>
                    <w:instrText>true</w:instrText>
                  </w:r>
                </w:fldSimple>
                <w:r w:rsidR="00CB4266">
                  <w:instrText xml:space="preserve"> = true </w:instrText>
                </w:r>
                <w:fldSimple w:instr=" DOCPROPERTY  docCliMat ">
                  <w:r>
                    <w:instrText>172976-0004</w:instrText>
                  </w:r>
                </w:fldSimple>
                <w:r w:rsidR="00CB4266">
                  <w:instrText xml:space="preserve">  </w:instrText>
                </w:r>
                <w:r w:rsidR="00CB4266">
                  <w:fldChar w:fldCharType="separate"/>
                </w:r>
                <w:r>
                  <w:rPr>
                    <w:noProof/>
                  </w:rPr>
                  <w:t>172976-0004</w:t>
                </w:r>
                <w:r w:rsidR="00CB4266">
                  <w:fldChar w:fldCharType="end"/>
                </w:r>
              </w:p>
              <w:p w14:paraId="6623060D" w14:textId="38C1CC0A" w:rsidR="00CB4266" w:rsidRDefault="00CB4266">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934BA" w14:textId="77777777" w:rsidR="00DF52E1" w:rsidRDefault="00DF52E1" w:rsidP="0016006F">
      <w:r>
        <w:separator/>
      </w:r>
    </w:p>
  </w:footnote>
  <w:footnote w:type="continuationSeparator" w:id="0">
    <w:p w14:paraId="3233F61D" w14:textId="77777777" w:rsidR="00DF52E1" w:rsidRDefault="00DF52E1" w:rsidP="0016006F">
      <w:r>
        <w:continuationSeparator/>
      </w:r>
    </w:p>
  </w:footnote>
  <w:footnote w:type="continuationNotice" w:id="1">
    <w:p w14:paraId="4F198595" w14:textId="77777777" w:rsidR="00DF52E1" w:rsidRDefault="00DF5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2CC5" w14:textId="67DDD063" w:rsidR="0016006F" w:rsidRDefault="0016006F">
    <w:pPr>
      <w:pStyle w:val="Header"/>
    </w:pPr>
    <w:r>
      <w:rPr>
        <w:noProof/>
      </w:rPr>
      <w:drawing>
        <wp:anchor distT="0" distB="0" distL="114300" distR="114300" simplePos="0" relativeHeight="251657216" behindDoc="1" locked="0" layoutInCell="1" allowOverlap="1" wp14:anchorId="239E6EF6" wp14:editId="3AE43778">
          <wp:simplePos x="0" y="0"/>
          <wp:positionH relativeFrom="column">
            <wp:posOffset>4699590</wp:posOffset>
          </wp:positionH>
          <wp:positionV relativeFrom="paragraph">
            <wp:posOffset>-55703</wp:posOffset>
          </wp:positionV>
          <wp:extent cx="1466850" cy="476250"/>
          <wp:effectExtent l="0" t="0" r="0" b="0"/>
          <wp:wrapTight wrapText="bothSides">
            <wp:wrapPolygon edited="0">
              <wp:start x="0" y="0"/>
              <wp:lineTo x="0" y="20736"/>
              <wp:lineTo x="21319" y="20736"/>
              <wp:lineTo x="21319" y="0"/>
              <wp:lineTo x="0" y="0"/>
            </wp:wrapPolygon>
          </wp:wrapTight>
          <wp:docPr id="78137259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372599" name="Picture 3" descr="A blue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F06"/>
    <w:multiLevelType w:val="hybridMultilevel"/>
    <w:tmpl w:val="397A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74C0C"/>
    <w:multiLevelType w:val="hybridMultilevel"/>
    <w:tmpl w:val="597676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BBC7415"/>
    <w:multiLevelType w:val="multilevel"/>
    <w:tmpl w:val="205489C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3141461">
    <w:abstractNumId w:val="2"/>
  </w:num>
  <w:num w:numId="2" w16cid:durableId="350301950">
    <w:abstractNumId w:val="0"/>
  </w:num>
  <w:num w:numId="3" w16cid:durableId="30062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9283368||2~9||3~3c. Rem Policy Amendments (redline)||5~RERIE||6~RERIE||8~DOC||10~21/01/2025 17:04:21||11~21/01/2025 16:34:19||13~72223||14~False||17~private||18~RERIE||19~RERIE||21~True||22~True||24~originated from document #299283368v2||25~172976||26~0004||60~Pepco Group Limited||61~Employment and Incentives Advice||74~Erie, Regina||75~Erie, Regina||76~WORD 2007||77~Document||80~Erie, Regina||82~docx||85~21/01/2025 17:04:24||99~01/01/0001 00:00:00||102~False||106~C:\Users\rerie\AppData\Roaming\iManage\Work\Recent\Employment and Incentives Advice _172976_0004_ - London\3c. Rem Policy Amendments (redline)(299283368.9).docx||107~01/01/0001 00:00:00||109~23/01/2025 23:57:32||112~01/01/0001 00:00:00||113~21/01/2025 16:34:19||114~21/01/2025 17:04:21||117~True||118~False||124~False||"/>
    <w:docVar w:name="ForteTempFile" w:val="C:\Users\a-cretford\AppData\Local\Temp\9\3da74179-3a33-42f6-aff9-f766e26957b2.docx"/>
    <w:docVar w:name="zzmp10LastTrailerInserted" w:val="^`~#mp!@⌔⌔5#S┕┩;29yŘmV⌔Ã5⌚EäYp‚⌊0Û‟ð¨m3CJ!†ëX⌎‫`Â»?ë¾@D›H⌎R­⌜³Þ⌖p{“@ˡ⌜⌖6l‟:Þ­®@ân#Atæ°|¬®å+Å$Ü·‣û[è※`0,ú^5qxšRxÿ{4X¦@⌔r&quot;±3´6~•⌕‣⌅9º?Yg|℧BÍÕÄ¬Ñ­¥fV0ì/pR@ÊBcw)⌖É⌛_ã8õ&amp;× _lÎKEÀŨ¦íy⌉ÀoA97BZNZ011"/>
    <w:docVar w:name="zzmp10LastTrailerInserted_2832" w:val="^`~#mp!@⌔⌔5#S┕┩;29yŘmV⌔Ã5⌚EäYp‚⌊0Û‟ð¨m3CJ!†ëX⌎‫`Â»?ë¾@D›H⌎R­⌜³Þ⌖p{“@ˡ⌜⌖6l‟:Þ­®@ân#Atæ°|¬®å+Å$Ü·‣û[è※`0,ú^5qxšRxÿ{4X¦@⌔r&quot;±3´6~•⌕‣⌅9º?Yg|℧BÍÕÄ¬Ñ­¥fV0ì/pR@ÊBcw)⌖É⌛_ã8õ&amp;× _lÎKEÀŨ¦íy⌉ÀoA97BZNZ011"/>
    <w:docVar w:name="zzmp10mSEGsValidated" w:val="1"/>
    <w:docVar w:name="zzmpCompatibilityMode" w:val="15"/>
    <w:docVar w:name="zzmpLegacyTrailerRemoved" w:val="True"/>
  </w:docVars>
  <w:rsids>
    <w:rsidRoot w:val="00834C13"/>
    <w:rsid w:val="00005673"/>
    <w:rsid w:val="00006C83"/>
    <w:rsid w:val="00006DBC"/>
    <w:rsid w:val="00013D87"/>
    <w:rsid w:val="000253E5"/>
    <w:rsid w:val="000856D3"/>
    <w:rsid w:val="000B1530"/>
    <w:rsid w:val="000B221D"/>
    <w:rsid w:val="000C1E59"/>
    <w:rsid w:val="000C3284"/>
    <w:rsid w:val="000E6402"/>
    <w:rsid w:val="000E665B"/>
    <w:rsid w:val="000F55C0"/>
    <w:rsid w:val="00107810"/>
    <w:rsid w:val="00113CC6"/>
    <w:rsid w:val="001262CB"/>
    <w:rsid w:val="0014767F"/>
    <w:rsid w:val="00147CF0"/>
    <w:rsid w:val="0016006F"/>
    <w:rsid w:val="00172033"/>
    <w:rsid w:val="0018578E"/>
    <w:rsid w:val="00193FF6"/>
    <w:rsid w:val="001A1E57"/>
    <w:rsid w:val="001A58E6"/>
    <w:rsid w:val="001C3409"/>
    <w:rsid w:val="001E48AB"/>
    <w:rsid w:val="001F3EA1"/>
    <w:rsid w:val="001F7AF9"/>
    <w:rsid w:val="002034FD"/>
    <w:rsid w:val="00203855"/>
    <w:rsid w:val="00230E03"/>
    <w:rsid w:val="00245A9E"/>
    <w:rsid w:val="002527A5"/>
    <w:rsid w:val="00261883"/>
    <w:rsid w:val="00270883"/>
    <w:rsid w:val="002733B8"/>
    <w:rsid w:val="002752CC"/>
    <w:rsid w:val="002A3ED6"/>
    <w:rsid w:val="002A532A"/>
    <w:rsid w:val="002B0BF9"/>
    <w:rsid w:val="002C1E84"/>
    <w:rsid w:val="002E3A18"/>
    <w:rsid w:val="00302158"/>
    <w:rsid w:val="00302FD1"/>
    <w:rsid w:val="003064A2"/>
    <w:rsid w:val="0031792D"/>
    <w:rsid w:val="00331313"/>
    <w:rsid w:val="00335461"/>
    <w:rsid w:val="0036236C"/>
    <w:rsid w:val="00367BD7"/>
    <w:rsid w:val="003704FF"/>
    <w:rsid w:val="00370C4F"/>
    <w:rsid w:val="0037433E"/>
    <w:rsid w:val="00380C3E"/>
    <w:rsid w:val="003877D8"/>
    <w:rsid w:val="003936FF"/>
    <w:rsid w:val="003974DA"/>
    <w:rsid w:val="003C35D2"/>
    <w:rsid w:val="003C6E98"/>
    <w:rsid w:val="0041149E"/>
    <w:rsid w:val="00416B0B"/>
    <w:rsid w:val="00423AB5"/>
    <w:rsid w:val="00450A0F"/>
    <w:rsid w:val="00451398"/>
    <w:rsid w:val="00453519"/>
    <w:rsid w:val="00456055"/>
    <w:rsid w:val="00456AD1"/>
    <w:rsid w:val="00465ABC"/>
    <w:rsid w:val="0047671D"/>
    <w:rsid w:val="004A17EE"/>
    <w:rsid w:val="004B68F8"/>
    <w:rsid w:val="004C200A"/>
    <w:rsid w:val="004C2714"/>
    <w:rsid w:val="004C4CD7"/>
    <w:rsid w:val="004D3CC4"/>
    <w:rsid w:val="004E0598"/>
    <w:rsid w:val="004E58CE"/>
    <w:rsid w:val="004F3585"/>
    <w:rsid w:val="005100C3"/>
    <w:rsid w:val="0051385A"/>
    <w:rsid w:val="00513FB4"/>
    <w:rsid w:val="00575A4C"/>
    <w:rsid w:val="00594228"/>
    <w:rsid w:val="005971B0"/>
    <w:rsid w:val="005C195E"/>
    <w:rsid w:val="005E2C6F"/>
    <w:rsid w:val="005E48E7"/>
    <w:rsid w:val="005F386E"/>
    <w:rsid w:val="005F4320"/>
    <w:rsid w:val="006244E6"/>
    <w:rsid w:val="00635C98"/>
    <w:rsid w:val="0063759B"/>
    <w:rsid w:val="006520CA"/>
    <w:rsid w:val="0065294E"/>
    <w:rsid w:val="00656DA5"/>
    <w:rsid w:val="00665AE3"/>
    <w:rsid w:val="00673819"/>
    <w:rsid w:val="006830BF"/>
    <w:rsid w:val="00691FCF"/>
    <w:rsid w:val="006942D7"/>
    <w:rsid w:val="006F607F"/>
    <w:rsid w:val="00700E22"/>
    <w:rsid w:val="00704FEC"/>
    <w:rsid w:val="0070679F"/>
    <w:rsid w:val="007163E9"/>
    <w:rsid w:val="007169BA"/>
    <w:rsid w:val="0073429F"/>
    <w:rsid w:val="00747846"/>
    <w:rsid w:val="00756F5C"/>
    <w:rsid w:val="00762239"/>
    <w:rsid w:val="00774F5A"/>
    <w:rsid w:val="007801B0"/>
    <w:rsid w:val="00793B99"/>
    <w:rsid w:val="007A1011"/>
    <w:rsid w:val="007B233B"/>
    <w:rsid w:val="007B479B"/>
    <w:rsid w:val="007C0855"/>
    <w:rsid w:val="007C4A82"/>
    <w:rsid w:val="007D27BF"/>
    <w:rsid w:val="007D42C0"/>
    <w:rsid w:val="007D441B"/>
    <w:rsid w:val="007D4749"/>
    <w:rsid w:val="00803165"/>
    <w:rsid w:val="00813D80"/>
    <w:rsid w:val="00821230"/>
    <w:rsid w:val="00821976"/>
    <w:rsid w:val="00823781"/>
    <w:rsid w:val="00834C13"/>
    <w:rsid w:val="00844BE1"/>
    <w:rsid w:val="00864E34"/>
    <w:rsid w:val="0087712C"/>
    <w:rsid w:val="008A6FA5"/>
    <w:rsid w:val="008A7DA9"/>
    <w:rsid w:val="008E2E98"/>
    <w:rsid w:val="008E42C2"/>
    <w:rsid w:val="008F535F"/>
    <w:rsid w:val="00905167"/>
    <w:rsid w:val="009116BA"/>
    <w:rsid w:val="00934D57"/>
    <w:rsid w:val="0094187F"/>
    <w:rsid w:val="00951C28"/>
    <w:rsid w:val="00963416"/>
    <w:rsid w:val="00974073"/>
    <w:rsid w:val="00974858"/>
    <w:rsid w:val="00982435"/>
    <w:rsid w:val="0099061E"/>
    <w:rsid w:val="009911C6"/>
    <w:rsid w:val="00997811"/>
    <w:rsid w:val="009A1D92"/>
    <w:rsid w:val="009C1C2A"/>
    <w:rsid w:val="009C7DA9"/>
    <w:rsid w:val="009D35AC"/>
    <w:rsid w:val="009F27AF"/>
    <w:rsid w:val="00A27567"/>
    <w:rsid w:val="00A32642"/>
    <w:rsid w:val="00A33230"/>
    <w:rsid w:val="00A42B9C"/>
    <w:rsid w:val="00A52426"/>
    <w:rsid w:val="00A64FF6"/>
    <w:rsid w:val="00A81648"/>
    <w:rsid w:val="00A91FA2"/>
    <w:rsid w:val="00AC5167"/>
    <w:rsid w:val="00AC69FA"/>
    <w:rsid w:val="00AD7E38"/>
    <w:rsid w:val="00AE0996"/>
    <w:rsid w:val="00AE6917"/>
    <w:rsid w:val="00B410FF"/>
    <w:rsid w:val="00B50329"/>
    <w:rsid w:val="00B57908"/>
    <w:rsid w:val="00B81790"/>
    <w:rsid w:val="00B82F9F"/>
    <w:rsid w:val="00B8468B"/>
    <w:rsid w:val="00B93561"/>
    <w:rsid w:val="00B93B5D"/>
    <w:rsid w:val="00BA489F"/>
    <w:rsid w:val="00BB534A"/>
    <w:rsid w:val="00BD0A55"/>
    <w:rsid w:val="00BE3A4E"/>
    <w:rsid w:val="00C14956"/>
    <w:rsid w:val="00C2260B"/>
    <w:rsid w:val="00C279AD"/>
    <w:rsid w:val="00C31B8F"/>
    <w:rsid w:val="00C36FD9"/>
    <w:rsid w:val="00C43C4F"/>
    <w:rsid w:val="00C502C1"/>
    <w:rsid w:val="00C5241D"/>
    <w:rsid w:val="00C53215"/>
    <w:rsid w:val="00C70227"/>
    <w:rsid w:val="00C85AD5"/>
    <w:rsid w:val="00C941CB"/>
    <w:rsid w:val="00C97674"/>
    <w:rsid w:val="00CA2F24"/>
    <w:rsid w:val="00CA7525"/>
    <w:rsid w:val="00CB4266"/>
    <w:rsid w:val="00CB5866"/>
    <w:rsid w:val="00CC375A"/>
    <w:rsid w:val="00CC770B"/>
    <w:rsid w:val="00CD0418"/>
    <w:rsid w:val="00CD0CCD"/>
    <w:rsid w:val="00CD462F"/>
    <w:rsid w:val="00CE2048"/>
    <w:rsid w:val="00CF5420"/>
    <w:rsid w:val="00D118AA"/>
    <w:rsid w:val="00D16DBD"/>
    <w:rsid w:val="00D17EF9"/>
    <w:rsid w:val="00D24F66"/>
    <w:rsid w:val="00D369AE"/>
    <w:rsid w:val="00D450F5"/>
    <w:rsid w:val="00D464D7"/>
    <w:rsid w:val="00D564E2"/>
    <w:rsid w:val="00D5778A"/>
    <w:rsid w:val="00D802EC"/>
    <w:rsid w:val="00D9670D"/>
    <w:rsid w:val="00D971C5"/>
    <w:rsid w:val="00DA359E"/>
    <w:rsid w:val="00DA4C7E"/>
    <w:rsid w:val="00DA6184"/>
    <w:rsid w:val="00DA6DF5"/>
    <w:rsid w:val="00DB18F2"/>
    <w:rsid w:val="00DB3200"/>
    <w:rsid w:val="00DB5279"/>
    <w:rsid w:val="00DC7459"/>
    <w:rsid w:val="00DD61B0"/>
    <w:rsid w:val="00DF099F"/>
    <w:rsid w:val="00DF52E1"/>
    <w:rsid w:val="00DF60D3"/>
    <w:rsid w:val="00E10DF8"/>
    <w:rsid w:val="00E12C57"/>
    <w:rsid w:val="00E27349"/>
    <w:rsid w:val="00E30221"/>
    <w:rsid w:val="00E31629"/>
    <w:rsid w:val="00E402B4"/>
    <w:rsid w:val="00E4275E"/>
    <w:rsid w:val="00E45CCF"/>
    <w:rsid w:val="00E47D3A"/>
    <w:rsid w:val="00E52780"/>
    <w:rsid w:val="00E66DB8"/>
    <w:rsid w:val="00E84036"/>
    <w:rsid w:val="00EA542D"/>
    <w:rsid w:val="00EB7B48"/>
    <w:rsid w:val="00EC09B6"/>
    <w:rsid w:val="00EC114D"/>
    <w:rsid w:val="00EC3825"/>
    <w:rsid w:val="00EC4952"/>
    <w:rsid w:val="00EC63E3"/>
    <w:rsid w:val="00EE052E"/>
    <w:rsid w:val="00F07647"/>
    <w:rsid w:val="00F1046A"/>
    <w:rsid w:val="00F137F7"/>
    <w:rsid w:val="00F17635"/>
    <w:rsid w:val="00F27A8C"/>
    <w:rsid w:val="00F325CE"/>
    <w:rsid w:val="00F55048"/>
    <w:rsid w:val="00F605E0"/>
    <w:rsid w:val="00F6207D"/>
    <w:rsid w:val="00F6402E"/>
    <w:rsid w:val="00F64A79"/>
    <w:rsid w:val="00F65D8A"/>
    <w:rsid w:val="00F76D09"/>
    <w:rsid w:val="00F818B4"/>
    <w:rsid w:val="00F86F04"/>
    <w:rsid w:val="00F929C8"/>
    <w:rsid w:val="00F94EB1"/>
    <w:rsid w:val="00FA0315"/>
    <w:rsid w:val="00FB6B1F"/>
    <w:rsid w:val="00FC0AA1"/>
    <w:rsid w:val="00FE5076"/>
    <w:rsid w:val="00FF28A0"/>
    <w:rsid w:val="00FF374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D3161"/>
  <w15:chartTrackingRefBased/>
  <w15:docId w15:val="{9921C1DD-0368-4B8E-883C-289A0075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5C"/>
    <w:pPr>
      <w:spacing w:after="0" w:line="240" w:lineRule="auto"/>
    </w:pPr>
    <w:rPr>
      <w:rFonts w:ascii="Times New Roman" w:eastAsia="PMingLiU" w:hAnsi="Times New Roman" w:cs="Times New Roman"/>
      <w:kern w:val="0"/>
      <w:lang w:val="en-US"/>
      <w14:ligatures w14:val="none"/>
    </w:rPr>
  </w:style>
  <w:style w:type="paragraph" w:styleId="Heading1">
    <w:name w:val="heading 1"/>
    <w:basedOn w:val="Normal"/>
    <w:next w:val="Normal"/>
    <w:link w:val="Heading1Char"/>
    <w:uiPriority w:val="9"/>
    <w:qFormat/>
    <w:rsid w:val="00834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C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C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C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C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C13"/>
    <w:rPr>
      <w:rFonts w:eastAsiaTheme="majorEastAsia" w:cstheme="majorBidi"/>
      <w:color w:val="272727" w:themeColor="text1" w:themeTint="D8"/>
    </w:rPr>
  </w:style>
  <w:style w:type="paragraph" w:styleId="Title">
    <w:name w:val="Title"/>
    <w:basedOn w:val="Normal"/>
    <w:next w:val="Normal"/>
    <w:link w:val="TitleChar"/>
    <w:uiPriority w:val="10"/>
    <w:qFormat/>
    <w:rsid w:val="00834C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C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C13"/>
    <w:pPr>
      <w:spacing w:before="160"/>
      <w:jc w:val="center"/>
    </w:pPr>
    <w:rPr>
      <w:i/>
      <w:iCs/>
      <w:color w:val="404040" w:themeColor="text1" w:themeTint="BF"/>
    </w:rPr>
  </w:style>
  <w:style w:type="character" w:customStyle="1" w:styleId="QuoteChar">
    <w:name w:val="Quote Char"/>
    <w:basedOn w:val="DefaultParagraphFont"/>
    <w:link w:val="Quote"/>
    <w:uiPriority w:val="29"/>
    <w:rsid w:val="00834C13"/>
    <w:rPr>
      <w:i/>
      <w:iCs/>
      <w:color w:val="404040" w:themeColor="text1" w:themeTint="BF"/>
    </w:rPr>
  </w:style>
  <w:style w:type="paragraph" w:styleId="ListParagraph">
    <w:name w:val="List Paragraph"/>
    <w:basedOn w:val="Normal"/>
    <w:uiPriority w:val="34"/>
    <w:qFormat/>
    <w:rsid w:val="00834C13"/>
    <w:pPr>
      <w:ind w:left="720"/>
      <w:contextualSpacing/>
    </w:pPr>
  </w:style>
  <w:style w:type="character" w:styleId="IntenseEmphasis">
    <w:name w:val="Intense Emphasis"/>
    <w:basedOn w:val="DefaultParagraphFont"/>
    <w:uiPriority w:val="21"/>
    <w:qFormat/>
    <w:rsid w:val="00834C13"/>
    <w:rPr>
      <w:i/>
      <w:iCs/>
      <w:color w:val="0F4761" w:themeColor="accent1" w:themeShade="BF"/>
    </w:rPr>
  </w:style>
  <w:style w:type="paragraph" w:styleId="IntenseQuote">
    <w:name w:val="Intense Quote"/>
    <w:basedOn w:val="Normal"/>
    <w:next w:val="Normal"/>
    <w:link w:val="IntenseQuoteChar"/>
    <w:uiPriority w:val="30"/>
    <w:qFormat/>
    <w:rsid w:val="00834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C13"/>
    <w:rPr>
      <w:i/>
      <w:iCs/>
      <w:color w:val="0F4761" w:themeColor="accent1" w:themeShade="BF"/>
    </w:rPr>
  </w:style>
  <w:style w:type="character" w:styleId="IntenseReference">
    <w:name w:val="Intense Reference"/>
    <w:basedOn w:val="DefaultParagraphFont"/>
    <w:uiPriority w:val="32"/>
    <w:qFormat/>
    <w:rsid w:val="00834C13"/>
    <w:rPr>
      <w:b/>
      <w:bCs/>
      <w:smallCaps/>
      <w:color w:val="0F4761" w:themeColor="accent1" w:themeShade="BF"/>
      <w:spacing w:val="5"/>
    </w:rPr>
  </w:style>
  <w:style w:type="paragraph" w:styleId="Header">
    <w:name w:val="header"/>
    <w:basedOn w:val="Normal"/>
    <w:link w:val="HeaderChar"/>
    <w:uiPriority w:val="99"/>
    <w:unhideWhenUsed/>
    <w:rsid w:val="0016006F"/>
    <w:pPr>
      <w:tabs>
        <w:tab w:val="center" w:pos="4513"/>
        <w:tab w:val="right" w:pos="9026"/>
      </w:tabs>
    </w:pPr>
  </w:style>
  <w:style w:type="character" w:customStyle="1" w:styleId="HeaderChar">
    <w:name w:val="Header Char"/>
    <w:basedOn w:val="DefaultParagraphFont"/>
    <w:link w:val="Header"/>
    <w:uiPriority w:val="99"/>
    <w:rsid w:val="0016006F"/>
  </w:style>
  <w:style w:type="paragraph" w:styleId="Footer">
    <w:name w:val="footer"/>
    <w:basedOn w:val="Normal"/>
    <w:link w:val="FooterChar"/>
    <w:uiPriority w:val="99"/>
    <w:unhideWhenUsed/>
    <w:rsid w:val="0016006F"/>
    <w:pPr>
      <w:tabs>
        <w:tab w:val="center" w:pos="4513"/>
        <w:tab w:val="right" w:pos="9026"/>
      </w:tabs>
    </w:pPr>
  </w:style>
  <w:style w:type="character" w:customStyle="1" w:styleId="FooterChar">
    <w:name w:val="Footer Char"/>
    <w:basedOn w:val="DefaultParagraphFont"/>
    <w:link w:val="Footer"/>
    <w:uiPriority w:val="99"/>
    <w:rsid w:val="0016006F"/>
  </w:style>
  <w:style w:type="paragraph" w:styleId="Revision">
    <w:name w:val="Revision"/>
    <w:hidden/>
    <w:uiPriority w:val="99"/>
    <w:semiHidden/>
    <w:rsid w:val="00DF60D3"/>
    <w:pPr>
      <w:spacing w:after="0" w:line="240" w:lineRule="auto"/>
    </w:pPr>
    <w:rPr>
      <w:rFonts w:ascii="Times New Roman" w:eastAsia="PMingLiU" w:hAnsi="Times New Roman" w:cs="Times New Roman"/>
      <w:kern w:val="0"/>
      <w:lang w:val="en-US"/>
      <w14:ligatures w14:val="none"/>
    </w:rPr>
  </w:style>
  <w:style w:type="character" w:styleId="CommentReference">
    <w:name w:val="annotation reference"/>
    <w:basedOn w:val="DefaultParagraphFont"/>
    <w:uiPriority w:val="99"/>
    <w:semiHidden/>
    <w:unhideWhenUsed/>
    <w:rsid w:val="007D27BF"/>
    <w:rPr>
      <w:sz w:val="16"/>
      <w:szCs w:val="16"/>
    </w:rPr>
  </w:style>
  <w:style w:type="paragraph" w:styleId="CommentText">
    <w:name w:val="annotation text"/>
    <w:basedOn w:val="Normal"/>
    <w:link w:val="CommentTextChar"/>
    <w:uiPriority w:val="99"/>
    <w:unhideWhenUsed/>
    <w:rsid w:val="007D27BF"/>
    <w:rPr>
      <w:sz w:val="20"/>
      <w:szCs w:val="20"/>
    </w:rPr>
  </w:style>
  <w:style w:type="character" w:customStyle="1" w:styleId="CommentTextChar">
    <w:name w:val="Comment Text Char"/>
    <w:basedOn w:val="DefaultParagraphFont"/>
    <w:link w:val="CommentText"/>
    <w:uiPriority w:val="99"/>
    <w:rsid w:val="007D27BF"/>
    <w:rPr>
      <w:rFonts w:ascii="Times New Roman" w:eastAsia="PMingLiU"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D27BF"/>
    <w:rPr>
      <w:b/>
      <w:bCs/>
    </w:rPr>
  </w:style>
  <w:style w:type="character" w:customStyle="1" w:styleId="CommentSubjectChar">
    <w:name w:val="Comment Subject Char"/>
    <w:basedOn w:val="CommentTextChar"/>
    <w:link w:val="CommentSubject"/>
    <w:uiPriority w:val="99"/>
    <w:semiHidden/>
    <w:rsid w:val="007D27BF"/>
    <w:rPr>
      <w:rFonts w:ascii="Times New Roman" w:eastAsia="PMingLiU" w:hAnsi="Times New Roman" w:cs="Times New Roman"/>
      <w:b/>
      <w:bCs/>
      <w:kern w:val="0"/>
      <w:sz w:val="20"/>
      <w:szCs w:val="20"/>
      <w:lang w:val="en-US"/>
      <w14:ligatures w14:val="none"/>
    </w:rPr>
  </w:style>
  <w:style w:type="paragraph" w:customStyle="1" w:styleId="MacPacTrailer">
    <w:name w:val="MacPac Trailer"/>
    <w:rsid w:val="00CB4266"/>
    <w:pPr>
      <w:widowControl w:val="0"/>
      <w:spacing w:line="170" w:lineRule="exact"/>
    </w:pPr>
    <w:rPr>
      <w:sz w:val="14"/>
    </w:rPr>
  </w:style>
  <w:style w:type="character" w:styleId="PlaceholderText">
    <w:name w:val="Placeholder Text"/>
    <w:basedOn w:val="DefaultParagraphFont"/>
    <w:uiPriority w:val="99"/>
    <w:semiHidden/>
    <w:rsid w:val="00CB4266"/>
    <w:rPr>
      <w:color w:val="808080"/>
    </w:rPr>
  </w:style>
  <w:style w:type="paragraph" w:styleId="FootnoteText">
    <w:name w:val="footnote text"/>
    <w:basedOn w:val="Normal"/>
    <w:link w:val="FootnoteTextChar"/>
    <w:uiPriority w:val="99"/>
    <w:semiHidden/>
    <w:unhideWhenUsed/>
    <w:rsid w:val="007D42C0"/>
    <w:rPr>
      <w:sz w:val="20"/>
      <w:szCs w:val="20"/>
    </w:rPr>
  </w:style>
  <w:style w:type="character" w:customStyle="1" w:styleId="FootnoteTextChar">
    <w:name w:val="Footnote Text Char"/>
    <w:basedOn w:val="DefaultParagraphFont"/>
    <w:link w:val="FootnoteText"/>
    <w:uiPriority w:val="99"/>
    <w:semiHidden/>
    <w:rsid w:val="007D42C0"/>
    <w:rPr>
      <w:rFonts w:ascii="Times New Roman" w:eastAsia="PMingLiU"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7D42C0"/>
    <w:rPr>
      <w:vertAlign w:val="superscript"/>
    </w:rPr>
  </w:style>
  <w:style w:type="character" w:styleId="Hyperlink">
    <w:name w:val="Hyperlink"/>
    <w:basedOn w:val="DefaultParagraphFont"/>
    <w:uiPriority w:val="99"/>
    <w:unhideWhenUsed/>
    <w:rsid w:val="00EC63E3"/>
    <w:rPr>
      <w:color w:val="467886" w:themeColor="hyperlink"/>
      <w:u w:val="single"/>
    </w:rPr>
  </w:style>
  <w:style w:type="character" w:styleId="UnresolvedMention">
    <w:name w:val="Unresolved Mention"/>
    <w:basedOn w:val="DefaultParagraphFont"/>
    <w:uiPriority w:val="99"/>
    <w:semiHidden/>
    <w:unhideWhenUsed/>
    <w:rsid w:val="00EC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97902">
      <w:bodyDiv w:val="1"/>
      <w:marLeft w:val="0"/>
      <w:marRight w:val="0"/>
      <w:marTop w:val="0"/>
      <w:marBottom w:val="0"/>
      <w:divBdr>
        <w:top w:val="none" w:sz="0" w:space="0" w:color="auto"/>
        <w:left w:val="none" w:sz="0" w:space="0" w:color="auto"/>
        <w:bottom w:val="none" w:sz="0" w:space="0" w:color="auto"/>
        <w:right w:val="none" w:sz="0" w:space="0" w:color="auto"/>
      </w:divBdr>
    </w:div>
    <w:div w:id="1551766607">
      <w:bodyDiv w:val="1"/>
      <w:marLeft w:val="0"/>
      <w:marRight w:val="0"/>
      <w:marTop w:val="0"/>
      <w:marBottom w:val="0"/>
      <w:divBdr>
        <w:top w:val="none" w:sz="0" w:space="0" w:color="auto"/>
        <w:left w:val="none" w:sz="0" w:space="0" w:color="auto"/>
        <w:bottom w:val="none" w:sz="0" w:space="0" w:color="auto"/>
        <w:right w:val="none" w:sz="0" w:space="0" w:color="auto"/>
      </w:divBdr>
    </w:div>
    <w:div w:id="19938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217C03A59DE1428314F7E7C9DEC3A5" ma:contentTypeVersion="18" ma:contentTypeDescription="Create a new document." ma:contentTypeScope="" ma:versionID="60db6513d78ee043667a72d8907aae36">
  <xsd:schema xmlns:xsd="http://www.w3.org/2001/XMLSchema" xmlns:xs="http://www.w3.org/2001/XMLSchema" xmlns:p="http://schemas.microsoft.com/office/2006/metadata/properties" xmlns:ns2="d844cfad-114f-4078-9db5-b75189e23946" xmlns:ns3="d7100ae0-fc01-4abd-8826-ded2c9acfa01" targetNamespace="http://schemas.microsoft.com/office/2006/metadata/properties" ma:root="true" ma:fieldsID="79e6d2b41b54dcdbf8dbfb1441e3a72c" ns2:_="" ns3:_="">
    <xsd:import namespace="d844cfad-114f-4078-9db5-b75189e23946"/>
    <xsd:import namespace="d7100ae0-fc01-4abd-8826-ded2c9acfa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4cfad-114f-4078-9db5-b75189e2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00ae0-fc01-4abd-8826-ded2c9acfa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be15a9-0ef9-4046-8905-729f61f05b3d}" ma:internalName="TaxCatchAll" ma:showField="CatchAllData" ma:web="d7100ae0-fc01-4abd-8826-ded2c9acf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100ae0-fc01-4abd-8826-ded2c9acfa01" xsi:nil="true"/>
    <lcf76f155ced4ddcb4097134ff3c332f xmlns="d844cfad-114f-4078-9db5-b75189e23946">
      <Terms xmlns="http://schemas.microsoft.com/office/infopath/2007/PartnerControls"/>
    </lcf76f155ced4ddcb4097134ff3c332f>
  </documentManagement>
</p:properties>
</file>

<file path=customXml/item4.xml>��< ? x m l   v e r s i o n = " 1 . 0 "   e n c o d i n g = " u t f - 1 6 " ? > < p r o p e r t i e s   x m l n s = " h t t p : / / w w w . i m a n a g e . c o m / w o r k / x m l s c h e m a " >  
     < d o c u m e n t i d > E U R O P E - L E G A L ! 2 9 9 2 8 3 3 6 8 . 9 < / d o c u m e n t i d >  
     < s e n d e r i d > R E R I E < / s e n d e r i d >  
     < s e n d e r e m a i l > R E G I N A . E R I E @ F R E S H F I E L D S . C O M < / s e n d e r e m a i l >  
     < l a s t m o d i f i e d > 2 0 2 5 - 0 1 - 2 3 T 2 3 : 5 9 : 0 0 . 0 0 0 0 0 0 0 + 0 0 : 0 0 < / l a s t m o d i f i e d >  
     < d a t a b a s e > E U R O P E - L E G A L < / 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6F33-F04A-471C-97CF-5A3B441CB4B3}">
  <ds:schemaRefs>
    <ds:schemaRef ds:uri="http://schemas.microsoft.com/sharepoint/v3/contenttype/forms"/>
  </ds:schemaRefs>
</ds:datastoreItem>
</file>

<file path=customXml/itemProps2.xml><?xml version="1.0" encoding="utf-8"?>
<ds:datastoreItem xmlns:ds="http://schemas.openxmlformats.org/officeDocument/2006/customXml" ds:itemID="{25904948-BF7C-460C-8D37-3F6E51024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4cfad-114f-4078-9db5-b75189e23946"/>
    <ds:schemaRef ds:uri="d7100ae0-fc01-4abd-8826-ded2c9acf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E9AE1-9CD1-444D-91E1-41DB299BEE6D}">
  <ds:schemaRefs>
    <ds:schemaRef ds:uri="http://schemas.microsoft.com/office/2006/metadata/properties"/>
    <ds:schemaRef ds:uri="http://schemas.microsoft.com/office/infopath/2007/PartnerControls"/>
    <ds:schemaRef ds:uri="d7100ae0-fc01-4abd-8826-ded2c9acfa01"/>
    <ds:schemaRef ds:uri="d844cfad-114f-4078-9db5-b75189e23946"/>
  </ds:schemaRefs>
</ds:datastoreItem>
</file>

<file path=customXml/itemProps4.xml><?xml version="1.0" encoding="utf-8"?>
<ds:datastoreItem xmlns:ds="http://schemas.openxmlformats.org/officeDocument/2006/customXml" ds:itemID="{FF6C56BE-9FDB-4FAA-9A6C-89816D51A29B}">
  <ds:schemaRefs>
    <ds:schemaRef ds:uri="http://www.imanage.com/work/xmlschema"/>
  </ds:schemaRefs>
</ds:datastoreItem>
</file>

<file path=customXml/itemProps5.xml><?xml version="1.0" encoding="utf-8"?>
<ds:datastoreItem xmlns:ds="http://schemas.openxmlformats.org/officeDocument/2006/customXml" ds:itemID="{83253B67-79CB-493F-85E9-AA409F79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3642</Words>
  <Characters>19813</Characters>
  <Application>Microsoft Office Word</Application>
  <DocSecurity>0</DocSecurity>
  <Lines>304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Lambert</dc:creator>
  <cp:keywords/>
  <dc:description/>
  <cp:lastModifiedBy>Joanna Kwak</cp:lastModifiedBy>
  <cp:revision>4</cp:revision>
  <cp:lastPrinted>2025-01-12T07:40:00Z</cp:lastPrinted>
  <dcterms:created xsi:type="dcterms:W3CDTF">2025-04-03T09:46:00Z</dcterms:created>
  <dcterms:modified xsi:type="dcterms:W3CDTF">2025-04-10T09:06:00Z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EUROPE-LEGAL-299283368</vt:lpwstr>
  </property>
  <property fmtid="{D5CDD505-2E9C-101B-9397-08002B2CF9AE}" pid="3" name="docVersion">
    <vt:lpwstr>9</vt:lpwstr>
  </property>
  <property fmtid="{D5CDD505-2E9C-101B-9397-08002B2CF9AE}" pid="4" name="docCliMat">
    <vt:lpwstr>172976-0004</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ContentTypeId">
    <vt:lpwstr>0x01010056217C03A59DE1428314F7E7C9DEC3A5</vt:lpwstr>
  </property>
  <property fmtid="{D5CDD505-2E9C-101B-9397-08002B2CF9AE}" pid="8" name="MediaServiceImageTags">
    <vt:lpwstr/>
  </property>
  <property fmtid="{D5CDD505-2E9C-101B-9397-08002B2CF9AE}" pid="9" name="GrammarlyDocumentId">
    <vt:lpwstr>f2a2e1f1455685c992545a82bf01a16085f14ec2ab3911192ab9b9b2fca58956</vt:lpwstr>
  </property>
</Properties>
</file>